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9877C" w14:textId="42A26255" w:rsidR="00114E2A" w:rsidRDefault="00AD0519" w:rsidP="00530CF3">
      <w:pPr>
        <w:rPr>
          <w:rFonts w:ascii="Tw Cen MT Condensed" w:hAnsi="Tw Cen MT Condensed"/>
          <w:sz w:val="48"/>
        </w:rPr>
      </w:pPr>
      <w:r>
        <w:rPr>
          <w:noProof/>
        </w:rPr>
        <w:drawing>
          <wp:anchor distT="0" distB="0" distL="114300" distR="114300" simplePos="0" relativeHeight="251658250" behindDoc="0" locked="0" layoutInCell="1" allowOverlap="1" wp14:anchorId="3A548D4B" wp14:editId="46E473F5">
            <wp:simplePos x="0" y="0"/>
            <wp:positionH relativeFrom="column">
              <wp:posOffset>-745490</wp:posOffset>
            </wp:positionH>
            <wp:positionV relativeFrom="paragraph">
              <wp:posOffset>-1540510</wp:posOffset>
            </wp:positionV>
            <wp:extent cx="7857931" cy="5247075"/>
            <wp:effectExtent l="0" t="0" r="0" b="0"/>
            <wp:wrapNone/>
            <wp:docPr id="28" name="Picture 28" descr="A picture containing truck,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ruck, transport&#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7857931" cy="5247075"/>
                    </a:xfrm>
                    <a:prstGeom prst="rect">
                      <a:avLst/>
                    </a:prstGeom>
                  </pic:spPr>
                </pic:pic>
              </a:graphicData>
            </a:graphic>
            <wp14:sizeRelH relativeFrom="page">
              <wp14:pctWidth>0</wp14:pctWidth>
            </wp14:sizeRelH>
            <wp14:sizeRelV relativeFrom="page">
              <wp14:pctHeight>0</wp14:pctHeight>
            </wp14:sizeRelV>
          </wp:anchor>
        </w:drawing>
      </w:r>
    </w:p>
    <w:p w14:paraId="07FF7325" w14:textId="787D980A" w:rsidR="00114E2A" w:rsidRDefault="00114E2A" w:rsidP="00530CF3"/>
    <w:p w14:paraId="6DF116C6" w14:textId="2D891D02" w:rsidR="00114E2A" w:rsidRDefault="00114E2A" w:rsidP="00530CF3"/>
    <w:p w14:paraId="55039CF2" w14:textId="68378DC5" w:rsidR="00C944A3" w:rsidRDefault="00C944A3" w:rsidP="00530CF3"/>
    <w:p w14:paraId="06A8C2DD" w14:textId="023B076B" w:rsidR="00026E18" w:rsidRDefault="00C944A3" w:rsidP="00530CF3">
      <w:r>
        <w:br/>
      </w:r>
    </w:p>
    <w:p w14:paraId="13484EB0" w14:textId="57ED47AA" w:rsidR="00414BE3" w:rsidRPr="00912E35" w:rsidRDefault="00414BE3" w:rsidP="009E4050">
      <w:pPr>
        <w:pStyle w:val="Heading1"/>
      </w:pPr>
    </w:p>
    <w:bookmarkStart w:id="0" w:name="_Toc114853549"/>
    <w:bookmarkStart w:id="1" w:name="_Toc114936510"/>
    <w:bookmarkStart w:id="2" w:name="_Toc115872574"/>
    <w:bookmarkStart w:id="3" w:name="_Toc116917678"/>
    <w:bookmarkStart w:id="4" w:name="_Toc117000312"/>
    <w:bookmarkStart w:id="5" w:name="_Toc117001035"/>
    <w:p w14:paraId="580E5DC1" w14:textId="7E8C12B3" w:rsidR="004F7F57" w:rsidRDefault="00C533FB" w:rsidP="009E4050">
      <w:pPr>
        <w:pStyle w:val="Heading1"/>
      </w:pPr>
      <w:r>
        <w:rPr>
          <w:rFonts w:ascii="Tw Cen MT Condensed" w:hAnsi="Tw Cen MT Condensed"/>
          <w:noProof/>
          <w:sz w:val="48"/>
        </w:rPr>
        <mc:AlternateContent>
          <mc:Choice Requires="wps">
            <w:drawing>
              <wp:anchor distT="0" distB="0" distL="114300" distR="114300" simplePos="0" relativeHeight="251658240" behindDoc="0" locked="0" layoutInCell="1" allowOverlap="1" wp14:anchorId="12F2758B" wp14:editId="0740380E">
                <wp:simplePos x="0" y="0"/>
                <wp:positionH relativeFrom="column">
                  <wp:posOffset>-741680</wp:posOffset>
                </wp:positionH>
                <wp:positionV relativeFrom="paragraph">
                  <wp:posOffset>2145242</wp:posOffset>
                </wp:positionV>
                <wp:extent cx="7975600" cy="3719830"/>
                <wp:effectExtent l="0" t="0" r="12700" b="13970"/>
                <wp:wrapNone/>
                <wp:docPr id="26" name="Rectangle 26"/>
                <wp:cNvGraphicFramePr/>
                <a:graphic xmlns:a="http://schemas.openxmlformats.org/drawingml/2006/main">
                  <a:graphicData uri="http://schemas.microsoft.com/office/word/2010/wordprocessingShape">
                    <wps:wsp>
                      <wps:cNvSpPr/>
                      <wps:spPr>
                        <a:xfrm>
                          <a:off x="0" y="0"/>
                          <a:ext cx="7975600" cy="37198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57F40" id="Rectangle 26" o:spid="_x0000_s1026" style="position:absolute;margin-left:-58.4pt;margin-top:168.9pt;width:628pt;height:29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" fillcolor="#1d666e [3204]" strokecolor="#0e3236 [1604]" strokeweight="1pt"/>
            </w:pict>
          </mc:Fallback>
        </mc:AlternateContent>
      </w:r>
      <w:r>
        <w:rPr>
          <w:noProof/>
          <w:sz w:val="48"/>
        </w:rPr>
        <w:drawing>
          <wp:anchor distT="0" distB="0" distL="114300" distR="114300" simplePos="0" relativeHeight="251658243" behindDoc="0" locked="0" layoutInCell="1" allowOverlap="1" wp14:anchorId="4B923EAD" wp14:editId="1C76E3D1">
            <wp:simplePos x="0" y="0"/>
            <wp:positionH relativeFrom="page">
              <wp:posOffset>5130800</wp:posOffset>
            </wp:positionH>
            <wp:positionV relativeFrom="paragraph">
              <wp:posOffset>6630670</wp:posOffset>
            </wp:positionV>
            <wp:extent cx="2035810" cy="27114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5810" cy="271145"/>
                    </a:xfrm>
                    <a:prstGeom prst="rect">
                      <a:avLst/>
                    </a:prstGeom>
                    <a:noFill/>
                  </pic:spPr>
                </pic:pic>
              </a:graphicData>
            </a:graphic>
            <wp14:sizeRelH relativeFrom="margin">
              <wp14:pctWidth>0</wp14:pctWidth>
            </wp14:sizeRelH>
            <wp14:sizeRelV relativeFrom="margin">
              <wp14:pctHeight>0</wp14:pctHeight>
            </wp14:sizeRelV>
          </wp:anchor>
        </w:drawing>
      </w:r>
      <w:r w:rsidRPr="00A4707C">
        <w:rPr>
          <w:noProof/>
          <w:lang w:val="en-CA" w:eastAsia="en-CA"/>
        </w:rPr>
        <w:drawing>
          <wp:anchor distT="0" distB="594360" distL="0" distR="0" simplePos="0" relativeHeight="251658242" behindDoc="1" locked="0" layoutInCell="1" allowOverlap="1" wp14:anchorId="784EE354" wp14:editId="651CC9CF">
            <wp:simplePos x="0" y="0"/>
            <wp:positionH relativeFrom="margin">
              <wp:posOffset>2269490</wp:posOffset>
            </wp:positionH>
            <wp:positionV relativeFrom="paragraph">
              <wp:posOffset>6630670</wp:posOffset>
            </wp:positionV>
            <wp:extent cx="1380490" cy="356235"/>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380490" cy="356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62A6">
        <w:rPr>
          <w:noProof/>
        </w:rPr>
        <w:drawing>
          <wp:anchor distT="0" distB="0" distL="114300" distR="114300" simplePos="0" relativeHeight="251658244" behindDoc="0" locked="0" layoutInCell="1" allowOverlap="1" wp14:anchorId="3B8651CB" wp14:editId="180E85B2">
            <wp:simplePos x="0" y="0"/>
            <wp:positionH relativeFrom="column">
              <wp:posOffset>-241935</wp:posOffset>
            </wp:positionH>
            <wp:positionV relativeFrom="paragraph">
              <wp:posOffset>6618817</wp:posOffset>
            </wp:positionV>
            <wp:extent cx="2047875" cy="365760"/>
            <wp:effectExtent l="0" t="0" r="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rs url horizontal.ep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7875" cy="365760"/>
                    </a:xfrm>
                    <a:prstGeom prst="rect">
                      <a:avLst/>
                    </a:prstGeom>
                  </pic:spPr>
                </pic:pic>
              </a:graphicData>
            </a:graphic>
            <wp14:sizeRelH relativeFrom="page">
              <wp14:pctWidth>0</wp14:pctWidth>
            </wp14:sizeRelH>
            <wp14:sizeRelV relativeFrom="page">
              <wp14:pctHeight>0</wp14:pctHeight>
            </wp14:sizeRelV>
          </wp:anchor>
        </w:drawing>
      </w:r>
      <w:r w:rsidRPr="004162A6">
        <w:rPr>
          <w:noProof/>
        </w:rPr>
        <mc:AlternateContent>
          <mc:Choice Requires="wpg">
            <w:drawing>
              <wp:anchor distT="0" distB="0" distL="114300" distR="114300" simplePos="0" relativeHeight="251658247" behindDoc="0" locked="0" layoutInCell="1" allowOverlap="1" wp14:anchorId="4010E875" wp14:editId="1581FAC2">
                <wp:simplePos x="0" y="0"/>
                <wp:positionH relativeFrom="column">
                  <wp:posOffset>-378460</wp:posOffset>
                </wp:positionH>
                <wp:positionV relativeFrom="paragraph">
                  <wp:posOffset>6095365</wp:posOffset>
                </wp:positionV>
                <wp:extent cx="4024630" cy="345440"/>
                <wp:effectExtent l="0" t="0" r="26670" b="10160"/>
                <wp:wrapNone/>
                <wp:docPr id="62" name="Group 62"/>
                <wp:cNvGraphicFramePr/>
                <a:graphic xmlns:a="http://schemas.openxmlformats.org/drawingml/2006/main">
                  <a:graphicData uri="http://schemas.microsoft.com/office/word/2010/wordprocessingGroup">
                    <wpg:wgp>
                      <wpg:cNvGrpSpPr/>
                      <wpg:grpSpPr>
                        <a:xfrm>
                          <a:off x="0" y="0"/>
                          <a:ext cx="4024630" cy="345440"/>
                          <a:chOff x="15498" y="0"/>
                          <a:chExt cx="4025563" cy="345440"/>
                        </a:xfrm>
                      </wpg:grpSpPr>
                      <wps:wsp>
                        <wps:cNvPr id="63" name="Text Box 1"/>
                        <wps:cNvSpPr txBox="1"/>
                        <wps:spPr>
                          <a:xfrm>
                            <a:off x="15498" y="0"/>
                            <a:ext cx="213931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222633" w14:textId="77777777" w:rsidR="0088007A" w:rsidRPr="002B60C0" w:rsidRDefault="0088007A" w:rsidP="006845CF">
                              <w:pPr>
                                <w:pStyle w:val="Subtitle2"/>
                              </w:pPr>
                              <w:r w:rsidRPr="002B60C0">
                                <w:t>PREPARED 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1581760" name="Straight Connector 1361581760"/>
                        <wps:cNvCnPr/>
                        <wps:spPr>
                          <a:xfrm>
                            <a:off x="87167" y="340963"/>
                            <a:ext cx="3953894"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010E875" id="Group 62" o:spid="_x0000_s1026" style="position:absolute;margin-left:-29.8pt;margin-top:479.95pt;width:316.9pt;height:27.2pt;z-index:251658247;mso-width-relative:margin;mso-height-relative:margin" coordorigin="154" coordsize="40255,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">
                <v:shapetype id="_x0000_t202" coordsize="21600,21600" o:spt="202" path="m,l,21600r21600,l21600,xe">
                  <v:stroke joinstyle="miter"/>
                  <v:path gradientshapeok="t" o:connecttype="rect"/>
                </v:shapetype>
                <v:shape id="Text Box 1" o:spid="_x0000_s1027" type="#_x0000_t202" style="position:absolute;left:154;width:21394;height:3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" filled="f" stroked="f">
                  <v:textbox>
                    <w:txbxContent>
                      <w:p w14:paraId="55222633" w14:textId="77777777" w:rsidR="0088007A" w:rsidRPr="002B60C0" w:rsidRDefault="0088007A" w:rsidP="006845CF">
                        <w:pPr>
                          <w:pStyle w:val="Subtitle2"/>
                        </w:pPr>
                        <w:r w:rsidRPr="002B60C0">
                          <w:t>PREPARED BY:</w:t>
                        </w:r>
                      </w:p>
                    </w:txbxContent>
                  </v:textbox>
                </v:shape>
                <v:line id="Straight Connector 1361581760" o:spid="_x0000_s1028" style="position:absolute;visibility:visible;mso-wrap-style:square" from="871,3409" to="40410,3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" strokecolor="#a5a5a5 [2092]" strokeweight=".5pt">
                  <v:stroke joinstyle="miter"/>
                </v:line>
              </v:group>
            </w:pict>
          </mc:Fallback>
        </mc:AlternateContent>
      </w:r>
      <w:r w:rsidRPr="004162A6">
        <w:rPr>
          <w:noProof/>
        </w:rPr>
        <mc:AlternateContent>
          <mc:Choice Requires="wpg">
            <w:drawing>
              <wp:anchor distT="0" distB="0" distL="114300" distR="114300" simplePos="0" relativeHeight="251658245" behindDoc="0" locked="0" layoutInCell="1" allowOverlap="1" wp14:anchorId="37CF9F08" wp14:editId="002BBD0F">
                <wp:simplePos x="0" y="0"/>
                <wp:positionH relativeFrom="column">
                  <wp:posOffset>4346575</wp:posOffset>
                </wp:positionH>
                <wp:positionV relativeFrom="paragraph">
                  <wp:posOffset>6096423</wp:posOffset>
                </wp:positionV>
                <wp:extent cx="2139315" cy="345440"/>
                <wp:effectExtent l="0" t="0" r="0" b="10160"/>
                <wp:wrapNone/>
                <wp:docPr id="21" name="Group 21"/>
                <wp:cNvGraphicFramePr/>
                <a:graphic xmlns:a="http://schemas.openxmlformats.org/drawingml/2006/main">
                  <a:graphicData uri="http://schemas.microsoft.com/office/word/2010/wordprocessingGroup">
                    <wpg:wgp>
                      <wpg:cNvGrpSpPr/>
                      <wpg:grpSpPr>
                        <a:xfrm>
                          <a:off x="0" y="0"/>
                          <a:ext cx="2139315" cy="345440"/>
                          <a:chOff x="15498" y="0"/>
                          <a:chExt cx="2139315" cy="345440"/>
                        </a:xfrm>
                      </wpg:grpSpPr>
                      <wps:wsp>
                        <wps:cNvPr id="23" name="Text Box 23"/>
                        <wps:cNvSpPr txBox="1"/>
                        <wps:spPr>
                          <a:xfrm>
                            <a:off x="15498" y="0"/>
                            <a:ext cx="213931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ACAA8F" w14:textId="77777777" w:rsidR="0088007A" w:rsidRPr="002B60C0" w:rsidRDefault="0088007A" w:rsidP="006845CF">
                              <w:pPr>
                                <w:pStyle w:val="Subtitle2"/>
                              </w:pPr>
                              <w:r>
                                <w:t>commissioned</w:t>
                              </w:r>
                              <w:r w:rsidRPr="002B60C0">
                                <w:t xml:space="preserve"> 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traight Connector 24"/>
                        <wps:cNvCnPr/>
                        <wps:spPr>
                          <a:xfrm>
                            <a:off x="87158" y="340963"/>
                            <a:ext cx="1987876"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7CF9F08" id="Group 21" o:spid="_x0000_s1029" style="position:absolute;margin-left:342.25pt;margin-top:480.05pt;width:168.45pt;height:27.2pt;z-index:251658245;mso-width-relative:margin;mso-height-relative:margin" coordorigin="154" coordsize="21393,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">
                <v:shape id="Text Box 23" o:spid="_x0000_s1030" type="#_x0000_t202" style="position:absolute;left:154;width:21394;height:3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" filled="f" stroked="f">
                  <v:textbox>
                    <w:txbxContent>
                      <w:p w14:paraId="77ACAA8F" w14:textId="77777777" w:rsidR="0088007A" w:rsidRPr="002B60C0" w:rsidRDefault="0088007A" w:rsidP="006845CF">
                        <w:pPr>
                          <w:pStyle w:val="Subtitle2"/>
                        </w:pPr>
                        <w:r>
                          <w:t>commissioned</w:t>
                        </w:r>
                        <w:r w:rsidRPr="002B60C0">
                          <w:t xml:space="preserve"> BY:</w:t>
                        </w:r>
                      </w:p>
                    </w:txbxContent>
                  </v:textbox>
                </v:shape>
                <v:line id="Straight Connector 24" o:spid="_x0000_s1031" style="position:absolute;visibility:visible;mso-wrap-style:square" from="871,3409" to="20750,3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" strokecolor="#a5a5a5 [2092]" strokeweight=".5pt">
                  <v:stroke joinstyle="miter"/>
                </v:line>
              </v:group>
            </w:pict>
          </mc:Fallback>
        </mc:AlternateContent>
      </w:r>
      <w:r w:rsidR="00CD1445" w:rsidRPr="004162A6">
        <w:rPr>
          <w:noProof/>
        </w:rPr>
        <mc:AlternateContent>
          <mc:Choice Requires="wps">
            <w:drawing>
              <wp:anchor distT="0" distB="0" distL="114300" distR="114300" simplePos="0" relativeHeight="251658241" behindDoc="0" locked="0" layoutInCell="1" allowOverlap="1" wp14:anchorId="562CDB6F" wp14:editId="03BF834D">
                <wp:simplePos x="0" y="0"/>
                <wp:positionH relativeFrom="column">
                  <wp:posOffset>-30038</wp:posOffset>
                </wp:positionH>
                <wp:positionV relativeFrom="paragraph">
                  <wp:posOffset>2963325</wp:posOffset>
                </wp:positionV>
                <wp:extent cx="6689532" cy="2223108"/>
                <wp:effectExtent l="0" t="0" r="0" b="0"/>
                <wp:wrapNone/>
                <wp:docPr id="6" name="Text Box 6"/>
                <wp:cNvGraphicFramePr/>
                <a:graphic xmlns:a="http://schemas.openxmlformats.org/drawingml/2006/main">
                  <a:graphicData uri="http://schemas.microsoft.com/office/word/2010/wordprocessingShape">
                    <wps:wsp>
                      <wps:cNvSpPr txBox="1"/>
                      <wps:spPr>
                        <a:xfrm>
                          <a:off x="0" y="0"/>
                          <a:ext cx="6689532" cy="22231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A5230C" w14:textId="2C92BE68" w:rsidR="00530CF3" w:rsidRPr="00C533FB" w:rsidRDefault="005760C2" w:rsidP="002A7A6F">
                            <w:pPr>
                              <w:pStyle w:val="Heading1"/>
                              <w:jc w:val="right"/>
                              <w:rPr>
                                <w:color w:val="FFFFFF" w:themeColor="background1"/>
                                <w:sz w:val="64"/>
                                <w:szCs w:val="64"/>
                              </w:rPr>
                            </w:pPr>
                            <w:bookmarkStart w:id="6" w:name="_Toc115872575"/>
                            <w:bookmarkStart w:id="7" w:name="_Toc116917679"/>
                            <w:bookmarkStart w:id="8" w:name="_Toc117000313"/>
                            <w:bookmarkStart w:id="9" w:name="_Toc117001036"/>
                            <w:r w:rsidRPr="00C533FB">
                              <w:rPr>
                                <w:color w:val="FFFFFF" w:themeColor="background1"/>
                                <w:sz w:val="64"/>
                                <w:szCs w:val="64"/>
                              </w:rPr>
                              <w:t xml:space="preserve">Solid Waste Facility Inventory </w:t>
                            </w:r>
                            <w:r w:rsidR="001C2753">
                              <w:rPr>
                                <w:color w:val="FFFFFF" w:themeColor="background1"/>
                                <w:sz w:val="64"/>
                                <w:szCs w:val="64"/>
                              </w:rPr>
                              <w:t>and</w:t>
                            </w:r>
                            <w:r w:rsidRPr="00C533FB">
                              <w:rPr>
                                <w:color w:val="FFFFFF" w:themeColor="background1"/>
                                <w:sz w:val="64"/>
                                <w:szCs w:val="64"/>
                              </w:rPr>
                              <w:t xml:space="preserve"> System Assessment</w:t>
                            </w:r>
                            <w:bookmarkEnd w:id="6"/>
                            <w:bookmarkEnd w:id="7"/>
                            <w:bookmarkEnd w:id="8"/>
                            <w:bookmarkEnd w:id="9"/>
                          </w:p>
                          <w:p w14:paraId="23336A77" w14:textId="77777777" w:rsidR="002A7A6F" w:rsidRDefault="002A7A6F" w:rsidP="002A7A6F">
                            <w:pPr>
                              <w:pStyle w:val="Subtitle2"/>
                              <w:jc w:val="right"/>
                              <w:rPr>
                                <w:color w:val="FFFFFF" w:themeColor="background1"/>
                                <w:sz w:val="24"/>
                                <w:szCs w:val="24"/>
                              </w:rPr>
                            </w:pPr>
                          </w:p>
                          <w:p w14:paraId="0FC2C80A" w14:textId="43655A6D" w:rsidR="0088007A" w:rsidRPr="00C533FB" w:rsidRDefault="0090183E" w:rsidP="002A7A6F">
                            <w:pPr>
                              <w:pStyle w:val="Subtitle2"/>
                              <w:jc w:val="right"/>
                              <w:rPr>
                                <w:b w:val="0"/>
                                <w:bCs/>
                                <w:color w:val="FFFFFF" w:themeColor="background1"/>
                                <w:sz w:val="32"/>
                                <w:szCs w:val="32"/>
                              </w:rPr>
                            </w:pPr>
                            <w:r w:rsidRPr="00C533FB">
                              <w:rPr>
                                <w:b w:val="0"/>
                                <w:bCs/>
                                <w:color w:val="FFFFFF" w:themeColor="background1"/>
                                <w:sz w:val="32"/>
                                <w:szCs w:val="32"/>
                              </w:rPr>
                              <w:t>CAPITOL REGION COUNCIL OF GOVERNMENTS</w:t>
                            </w:r>
                            <w:r w:rsidR="00CD1445" w:rsidRPr="00C533FB">
                              <w:rPr>
                                <w:b w:val="0"/>
                                <w:bCs/>
                                <w:color w:val="FFFFFF" w:themeColor="background1"/>
                                <w:sz w:val="32"/>
                                <w:szCs w:val="32"/>
                              </w:rPr>
                              <w:br/>
                            </w:r>
                            <w:r w:rsidR="00817D11">
                              <w:rPr>
                                <w:b w:val="0"/>
                                <w:bCs/>
                                <w:color w:val="FFFFFF" w:themeColor="background1"/>
                                <w:sz w:val="32"/>
                                <w:szCs w:val="32"/>
                              </w:rPr>
                              <w:t>october</w:t>
                            </w:r>
                            <w:r w:rsidR="00CA6B34" w:rsidRPr="00C533FB">
                              <w:rPr>
                                <w:b w:val="0"/>
                                <w:bCs/>
                                <w:color w:val="FFFFFF" w:themeColor="background1"/>
                                <w:sz w:val="32"/>
                                <w:szCs w:val="32"/>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CDB6F" id="Text Box 6" o:spid="_x0000_s1032" type="#_x0000_t202" style="position:absolute;margin-left:-2.35pt;margin-top:233.35pt;width:526.75pt;height:175.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" filled="f" stroked="f">
                <v:textbox>
                  <w:txbxContent>
                    <w:p w14:paraId="03A5230C" w14:textId="2C92BE68" w:rsidR="00530CF3" w:rsidRPr="00C533FB" w:rsidRDefault="005760C2" w:rsidP="002A7A6F">
                      <w:pPr>
                        <w:pStyle w:val="Heading1"/>
                        <w:jc w:val="right"/>
                        <w:rPr>
                          <w:color w:val="FFFFFF" w:themeColor="background1"/>
                          <w:sz w:val="64"/>
                          <w:szCs w:val="64"/>
                        </w:rPr>
                      </w:pPr>
                      <w:bookmarkStart w:id="10" w:name="_Toc115872575"/>
                      <w:bookmarkStart w:id="11" w:name="_Toc116917679"/>
                      <w:bookmarkStart w:id="12" w:name="_Toc117000313"/>
                      <w:bookmarkStart w:id="13" w:name="_Toc117001036"/>
                      <w:r w:rsidRPr="00C533FB">
                        <w:rPr>
                          <w:color w:val="FFFFFF" w:themeColor="background1"/>
                          <w:sz w:val="64"/>
                          <w:szCs w:val="64"/>
                        </w:rPr>
                        <w:t xml:space="preserve">Solid Waste Facility Inventory </w:t>
                      </w:r>
                      <w:r w:rsidR="001C2753">
                        <w:rPr>
                          <w:color w:val="FFFFFF" w:themeColor="background1"/>
                          <w:sz w:val="64"/>
                          <w:szCs w:val="64"/>
                        </w:rPr>
                        <w:t>and</w:t>
                      </w:r>
                      <w:r w:rsidRPr="00C533FB">
                        <w:rPr>
                          <w:color w:val="FFFFFF" w:themeColor="background1"/>
                          <w:sz w:val="64"/>
                          <w:szCs w:val="64"/>
                        </w:rPr>
                        <w:t xml:space="preserve"> System Assessment</w:t>
                      </w:r>
                      <w:bookmarkEnd w:id="10"/>
                      <w:bookmarkEnd w:id="11"/>
                      <w:bookmarkEnd w:id="12"/>
                      <w:bookmarkEnd w:id="13"/>
                    </w:p>
                    <w:p w14:paraId="23336A77" w14:textId="77777777" w:rsidR="002A7A6F" w:rsidRDefault="002A7A6F" w:rsidP="002A7A6F">
                      <w:pPr>
                        <w:pStyle w:val="Subtitle2"/>
                        <w:jc w:val="right"/>
                        <w:rPr>
                          <w:color w:val="FFFFFF" w:themeColor="background1"/>
                          <w:sz w:val="24"/>
                          <w:szCs w:val="24"/>
                        </w:rPr>
                      </w:pPr>
                    </w:p>
                    <w:p w14:paraId="0FC2C80A" w14:textId="43655A6D" w:rsidR="0088007A" w:rsidRPr="00C533FB" w:rsidRDefault="0090183E" w:rsidP="002A7A6F">
                      <w:pPr>
                        <w:pStyle w:val="Subtitle2"/>
                        <w:jc w:val="right"/>
                        <w:rPr>
                          <w:b w:val="0"/>
                          <w:bCs/>
                          <w:color w:val="FFFFFF" w:themeColor="background1"/>
                          <w:sz w:val="32"/>
                          <w:szCs w:val="32"/>
                        </w:rPr>
                      </w:pPr>
                      <w:r w:rsidRPr="00C533FB">
                        <w:rPr>
                          <w:b w:val="0"/>
                          <w:bCs/>
                          <w:color w:val="FFFFFF" w:themeColor="background1"/>
                          <w:sz w:val="32"/>
                          <w:szCs w:val="32"/>
                        </w:rPr>
                        <w:t>CAPITOL REGION COUNCIL OF GOVERNMENTS</w:t>
                      </w:r>
                      <w:r w:rsidR="00CD1445" w:rsidRPr="00C533FB">
                        <w:rPr>
                          <w:b w:val="0"/>
                          <w:bCs/>
                          <w:color w:val="FFFFFF" w:themeColor="background1"/>
                          <w:sz w:val="32"/>
                          <w:szCs w:val="32"/>
                        </w:rPr>
                        <w:br/>
                      </w:r>
                      <w:r w:rsidR="00817D11">
                        <w:rPr>
                          <w:b w:val="0"/>
                          <w:bCs/>
                          <w:color w:val="FFFFFF" w:themeColor="background1"/>
                          <w:sz w:val="32"/>
                          <w:szCs w:val="32"/>
                        </w:rPr>
                        <w:t>october</w:t>
                      </w:r>
                      <w:r w:rsidR="00CA6B34" w:rsidRPr="00C533FB">
                        <w:rPr>
                          <w:b w:val="0"/>
                          <w:bCs/>
                          <w:color w:val="FFFFFF" w:themeColor="background1"/>
                          <w:sz w:val="32"/>
                          <w:szCs w:val="32"/>
                        </w:rPr>
                        <w:t xml:space="preserve"> 2022</w:t>
                      </w:r>
                    </w:p>
                  </w:txbxContent>
                </v:textbox>
              </v:shape>
            </w:pict>
          </mc:Fallback>
        </mc:AlternateContent>
      </w:r>
      <w:bookmarkEnd w:id="0"/>
      <w:bookmarkEnd w:id="1"/>
      <w:bookmarkEnd w:id="2"/>
      <w:bookmarkEnd w:id="3"/>
      <w:bookmarkEnd w:id="4"/>
      <w:bookmarkEnd w:id="5"/>
      <w:r w:rsidR="001B5B03" w:rsidRPr="00912E35">
        <w:br w:type="page"/>
      </w:r>
    </w:p>
    <w:sdt>
      <w:sdtPr>
        <w:rPr>
          <w:rFonts w:ascii="Verdana" w:eastAsiaTheme="minorEastAsia" w:hAnsi="Verdana" w:cstheme="minorBidi"/>
          <w:b w:val="0"/>
          <w:bCs w:val="0"/>
          <w:caps w:val="0"/>
          <w:color w:val="2B2929" w:themeColor="text1" w:themeShade="BF"/>
          <w:sz w:val="20"/>
          <w:szCs w:val="18"/>
          <w:lang w:eastAsia="en-US"/>
        </w:rPr>
        <w:id w:val="1804043270"/>
        <w:docPartObj>
          <w:docPartGallery w:val="Table of Contents"/>
          <w:docPartUnique/>
        </w:docPartObj>
      </w:sdtPr>
      <w:sdtEndPr>
        <w:rPr>
          <w:noProof/>
        </w:rPr>
      </w:sdtEndPr>
      <w:sdtContent>
        <w:p w14:paraId="75AB90F5" w14:textId="119FAD33" w:rsidR="008314FC" w:rsidRDefault="008314FC">
          <w:pPr>
            <w:pStyle w:val="TOCHeading"/>
          </w:pPr>
          <w:r>
            <w:t>Contents</w:t>
          </w:r>
        </w:p>
        <w:p w14:paraId="3F139F4C" w14:textId="3B52F972" w:rsidR="002940AE" w:rsidRDefault="008314FC" w:rsidP="00F72DBC">
          <w:pPr>
            <w:pStyle w:val="TOC1"/>
            <w:rPr>
              <w:rFonts w:asciiTheme="minorHAnsi" w:hAnsiTheme="minorHAnsi"/>
              <w:noProof/>
              <w:color w:val="auto"/>
              <w:sz w:val="22"/>
              <w:szCs w:val="22"/>
            </w:rPr>
          </w:pPr>
          <w:r>
            <w:fldChar w:fldCharType="begin"/>
          </w:r>
          <w:r>
            <w:instrText xml:space="preserve"> TOC \o "1-3" \h \z \u </w:instrText>
          </w:r>
          <w:r>
            <w:fldChar w:fldCharType="separate"/>
          </w:r>
        </w:p>
        <w:p w14:paraId="6ED2F655" w14:textId="01A3645D" w:rsidR="002940AE" w:rsidRDefault="00E9026D">
          <w:pPr>
            <w:pStyle w:val="TOC1"/>
            <w:rPr>
              <w:rFonts w:asciiTheme="minorHAnsi" w:hAnsiTheme="minorHAnsi"/>
              <w:noProof/>
              <w:color w:val="auto"/>
              <w:sz w:val="22"/>
              <w:szCs w:val="22"/>
            </w:rPr>
          </w:pPr>
          <w:hyperlink w:anchor="_Toc117001037" w:history="1">
            <w:r w:rsidR="002940AE" w:rsidRPr="00D2465D">
              <w:rPr>
                <w:rStyle w:val="Hyperlink"/>
                <w:noProof/>
              </w:rPr>
              <w:t>Executive Summary</w:t>
            </w:r>
            <w:r w:rsidR="002940AE">
              <w:rPr>
                <w:noProof/>
                <w:webHidden/>
              </w:rPr>
              <w:tab/>
            </w:r>
            <w:r w:rsidR="002940AE">
              <w:rPr>
                <w:noProof/>
                <w:webHidden/>
              </w:rPr>
              <w:fldChar w:fldCharType="begin"/>
            </w:r>
            <w:r w:rsidR="002940AE">
              <w:rPr>
                <w:noProof/>
                <w:webHidden/>
              </w:rPr>
              <w:instrText xml:space="preserve"> PAGEREF _Toc117001037 \h </w:instrText>
            </w:r>
            <w:r w:rsidR="002940AE">
              <w:rPr>
                <w:noProof/>
                <w:webHidden/>
              </w:rPr>
            </w:r>
            <w:r w:rsidR="002940AE">
              <w:rPr>
                <w:noProof/>
                <w:webHidden/>
              </w:rPr>
              <w:fldChar w:fldCharType="separate"/>
            </w:r>
            <w:r w:rsidR="00D82A57">
              <w:rPr>
                <w:noProof/>
                <w:webHidden/>
              </w:rPr>
              <w:t>3</w:t>
            </w:r>
            <w:r w:rsidR="002940AE">
              <w:rPr>
                <w:noProof/>
                <w:webHidden/>
              </w:rPr>
              <w:fldChar w:fldCharType="end"/>
            </w:r>
          </w:hyperlink>
        </w:p>
        <w:p w14:paraId="2E40FEE9" w14:textId="6CD1A57F" w:rsidR="002940AE" w:rsidRDefault="00E9026D">
          <w:pPr>
            <w:pStyle w:val="TOC1"/>
            <w:rPr>
              <w:rFonts w:asciiTheme="minorHAnsi" w:hAnsiTheme="minorHAnsi"/>
              <w:noProof/>
              <w:color w:val="auto"/>
              <w:sz w:val="22"/>
              <w:szCs w:val="22"/>
            </w:rPr>
          </w:pPr>
          <w:hyperlink w:anchor="_Toc117001038" w:history="1">
            <w:r w:rsidR="002940AE" w:rsidRPr="00D2465D">
              <w:rPr>
                <w:rStyle w:val="Hyperlink"/>
                <w:noProof/>
              </w:rPr>
              <w:t>Introduction</w:t>
            </w:r>
            <w:r w:rsidR="002940AE">
              <w:rPr>
                <w:noProof/>
                <w:webHidden/>
              </w:rPr>
              <w:tab/>
            </w:r>
            <w:r w:rsidR="002940AE">
              <w:rPr>
                <w:noProof/>
                <w:webHidden/>
              </w:rPr>
              <w:fldChar w:fldCharType="begin"/>
            </w:r>
            <w:r w:rsidR="002940AE">
              <w:rPr>
                <w:noProof/>
                <w:webHidden/>
              </w:rPr>
              <w:instrText xml:space="preserve"> PAGEREF _Toc117001038 \h </w:instrText>
            </w:r>
            <w:r w:rsidR="002940AE">
              <w:rPr>
                <w:noProof/>
                <w:webHidden/>
              </w:rPr>
            </w:r>
            <w:r w:rsidR="002940AE">
              <w:rPr>
                <w:noProof/>
                <w:webHidden/>
              </w:rPr>
              <w:fldChar w:fldCharType="separate"/>
            </w:r>
            <w:r w:rsidR="00D82A57">
              <w:rPr>
                <w:noProof/>
                <w:webHidden/>
              </w:rPr>
              <w:t>4</w:t>
            </w:r>
            <w:r w:rsidR="002940AE">
              <w:rPr>
                <w:noProof/>
                <w:webHidden/>
              </w:rPr>
              <w:fldChar w:fldCharType="end"/>
            </w:r>
          </w:hyperlink>
        </w:p>
        <w:p w14:paraId="6D3A05FE" w14:textId="056FFD5D" w:rsidR="002940AE" w:rsidRPr="00F72DBC" w:rsidRDefault="00E9026D" w:rsidP="00F72DBC">
          <w:pPr>
            <w:pStyle w:val="TOC1"/>
            <w:rPr>
              <w:rFonts w:asciiTheme="minorHAnsi" w:hAnsiTheme="minorHAnsi"/>
              <w:noProof/>
              <w:color w:val="auto"/>
              <w:sz w:val="22"/>
              <w:szCs w:val="22"/>
            </w:rPr>
          </w:pPr>
          <w:hyperlink w:anchor="_Toc117001041" w:history="1">
            <w:r w:rsidR="002940AE" w:rsidRPr="00D2465D">
              <w:rPr>
                <w:rStyle w:val="Hyperlink"/>
                <w:noProof/>
              </w:rPr>
              <w:t>Capitol Region Council of Governments Overview</w:t>
            </w:r>
            <w:r w:rsidR="002940AE">
              <w:rPr>
                <w:noProof/>
                <w:webHidden/>
              </w:rPr>
              <w:tab/>
            </w:r>
            <w:r w:rsidR="002940AE">
              <w:rPr>
                <w:noProof/>
                <w:webHidden/>
              </w:rPr>
              <w:fldChar w:fldCharType="begin"/>
            </w:r>
            <w:r w:rsidR="002940AE">
              <w:rPr>
                <w:noProof/>
                <w:webHidden/>
              </w:rPr>
              <w:instrText xml:space="preserve"> PAGEREF _Toc117001041 \h </w:instrText>
            </w:r>
            <w:r w:rsidR="002940AE">
              <w:rPr>
                <w:noProof/>
                <w:webHidden/>
              </w:rPr>
            </w:r>
            <w:r w:rsidR="002940AE">
              <w:rPr>
                <w:noProof/>
                <w:webHidden/>
              </w:rPr>
              <w:fldChar w:fldCharType="separate"/>
            </w:r>
            <w:r w:rsidR="00D82A57">
              <w:rPr>
                <w:noProof/>
                <w:webHidden/>
              </w:rPr>
              <w:t>5</w:t>
            </w:r>
            <w:r w:rsidR="002940AE">
              <w:rPr>
                <w:noProof/>
                <w:webHidden/>
              </w:rPr>
              <w:fldChar w:fldCharType="end"/>
            </w:r>
          </w:hyperlink>
        </w:p>
        <w:p w14:paraId="6604C620" w14:textId="1B1A75A1" w:rsidR="002940AE" w:rsidRDefault="00E9026D">
          <w:pPr>
            <w:pStyle w:val="TOC1"/>
            <w:rPr>
              <w:rFonts w:asciiTheme="minorHAnsi" w:hAnsiTheme="minorHAnsi"/>
              <w:noProof/>
              <w:color w:val="auto"/>
              <w:sz w:val="22"/>
              <w:szCs w:val="22"/>
            </w:rPr>
          </w:pPr>
          <w:hyperlink w:anchor="_Toc117001044" w:history="1">
            <w:r w:rsidR="002940AE" w:rsidRPr="00D2465D">
              <w:rPr>
                <w:rStyle w:val="Hyperlink"/>
                <w:noProof/>
              </w:rPr>
              <w:t>Program Performance</w:t>
            </w:r>
            <w:r w:rsidR="002940AE">
              <w:rPr>
                <w:noProof/>
                <w:webHidden/>
              </w:rPr>
              <w:tab/>
            </w:r>
            <w:r w:rsidR="002940AE">
              <w:rPr>
                <w:noProof/>
                <w:webHidden/>
              </w:rPr>
              <w:fldChar w:fldCharType="begin"/>
            </w:r>
            <w:r w:rsidR="002940AE">
              <w:rPr>
                <w:noProof/>
                <w:webHidden/>
              </w:rPr>
              <w:instrText xml:space="preserve"> PAGEREF _Toc117001044 \h </w:instrText>
            </w:r>
            <w:r w:rsidR="002940AE">
              <w:rPr>
                <w:noProof/>
                <w:webHidden/>
              </w:rPr>
            </w:r>
            <w:r w:rsidR="002940AE">
              <w:rPr>
                <w:noProof/>
                <w:webHidden/>
              </w:rPr>
              <w:fldChar w:fldCharType="separate"/>
            </w:r>
            <w:r w:rsidR="00D82A57">
              <w:rPr>
                <w:noProof/>
                <w:webHidden/>
              </w:rPr>
              <w:t>9</w:t>
            </w:r>
            <w:r w:rsidR="002940AE">
              <w:rPr>
                <w:noProof/>
                <w:webHidden/>
              </w:rPr>
              <w:fldChar w:fldCharType="end"/>
            </w:r>
          </w:hyperlink>
        </w:p>
        <w:p w14:paraId="785F247C" w14:textId="0D6C927B" w:rsidR="002940AE" w:rsidRDefault="00E9026D">
          <w:pPr>
            <w:pStyle w:val="TOC1"/>
            <w:rPr>
              <w:rFonts w:asciiTheme="minorHAnsi" w:hAnsiTheme="minorHAnsi"/>
              <w:noProof/>
              <w:color w:val="auto"/>
              <w:sz w:val="22"/>
              <w:szCs w:val="22"/>
            </w:rPr>
          </w:pPr>
          <w:hyperlink w:anchor="_Toc117001050" w:history="1">
            <w:r w:rsidR="002940AE" w:rsidRPr="00D2465D">
              <w:rPr>
                <w:rStyle w:val="Hyperlink"/>
                <w:noProof/>
              </w:rPr>
              <w:t>System Assessment and Infrastructure Inventory</w:t>
            </w:r>
            <w:r w:rsidR="002940AE">
              <w:rPr>
                <w:noProof/>
                <w:webHidden/>
              </w:rPr>
              <w:tab/>
            </w:r>
            <w:r w:rsidR="002940AE">
              <w:rPr>
                <w:noProof/>
                <w:webHidden/>
              </w:rPr>
              <w:fldChar w:fldCharType="begin"/>
            </w:r>
            <w:r w:rsidR="002940AE">
              <w:rPr>
                <w:noProof/>
                <w:webHidden/>
              </w:rPr>
              <w:instrText xml:space="preserve"> PAGEREF _Toc117001050 \h </w:instrText>
            </w:r>
            <w:r w:rsidR="002940AE">
              <w:rPr>
                <w:noProof/>
                <w:webHidden/>
              </w:rPr>
            </w:r>
            <w:r w:rsidR="002940AE">
              <w:rPr>
                <w:noProof/>
                <w:webHidden/>
              </w:rPr>
              <w:fldChar w:fldCharType="separate"/>
            </w:r>
            <w:r w:rsidR="00D82A57">
              <w:rPr>
                <w:noProof/>
                <w:webHidden/>
              </w:rPr>
              <w:t>13</w:t>
            </w:r>
            <w:r w:rsidR="002940AE">
              <w:rPr>
                <w:noProof/>
                <w:webHidden/>
              </w:rPr>
              <w:fldChar w:fldCharType="end"/>
            </w:r>
          </w:hyperlink>
        </w:p>
        <w:p w14:paraId="7F28D6A7" w14:textId="327A2975" w:rsidR="002940AE" w:rsidRDefault="00E9026D">
          <w:pPr>
            <w:pStyle w:val="TOC1"/>
            <w:rPr>
              <w:rFonts w:asciiTheme="minorHAnsi" w:hAnsiTheme="minorHAnsi"/>
              <w:noProof/>
              <w:color w:val="auto"/>
              <w:sz w:val="22"/>
              <w:szCs w:val="22"/>
            </w:rPr>
          </w:pPr>
          <w:hyperlink w:anchor="_Toc117001059" w:history="1">
            <w:r w:rsidR="002940AE" w:rsidRPr="00D2465D">
              <w:rPr>
                <w:rStyle w:val="Hyperlink"/>
                <w:noProof/>
              </w:rPr>
              <w:t>Conclusions</w:t>
            </w:r>
            <w:r w:rsidR="002940AE">
              <w:rPr>
                <w:noProof/>
                <w:webHidden/>
              </w:rPr>
              <w:tab/>
            </w:r>
            <w:r w:rsidR="002940AE">
              <w:rPr>
                <w:noProof/>
                <w:webHidden/>
              </w:rPr>
              <w:fldChar w:fldCharType="begin"/>
            </w:r>
            <w:r w:rsidR="002940AE">
              <w:rPr>
                <w:noProof/>
                <w:webHidden/>
              </w:rPr>
              <w:instrText xml:space="preserve"> PAGEREF _Toc117001059 \h </w:instrText>
            </w:r>
            <w:r w:rsidR="002940AE">
              <w:rPr>
                <w:noProof/>
                <w:webHidden/>
              </w:rPr>
            </w:r>
            <w:r w:rsidR="002940AE">
              <w:rPr>
                <w:noProof/>
                <w:webHidden/>
              </w:rPr>
              <w:fldChar w:fldCharType="separate"/>
            </w:r>
            <w:r w:rsidR="00D82A57">
              <w:rPr>
                <w:noProof/>
                <w:webHidden/>
              </w:rPr>
              <w:t>25</w:t>
            </w:r>
            <w:r w:rsidR="002940AE">
              <w:rPr>
                <w:noProof/>
                <w:webHidden/>
              </w:rPr>
              <w:fldChar w:fldCharType="end"/>
            </w:r>
          </w:hyperlink>
        </w:p>
        <w:p w14:paraId="45DBFAB8" w14:textId="60E1AC82" w:rsidR="002940AE" w:rsidRDefault="00E9026D">
          <w:pPr>
            <w:pStyle w:val="TOC1"/>
            <w:rPr>
              <w:rFonts w:asciiTheme="minorHAnsi" w:hAnsiTheme="minorHAnsi"/>
              <w:noProof/>
              <w:color w:val="auto"/>
              <w:sz w:val="22"/>
              <w:szCs w:val="22"/>
            </w:rPr>
          </w:pPr>
          <w:hyperlink w:anchor="_Toc117001061" w:history="1">
            <w:r w:rsidR="002940AE" w:rsidRPr="00D2465D">
              <w:rPr>
                <w:rStyle w:val="Hyperlink"/>
                <w:noProof/>
              </w:rPr>
              <w:t>Appendix A: Disposal Infrastructure Inventory and System Assessment Methodology and Findings</w:t>
            </w:r>
            <w:r w:rsidR="002940AE">
              <w:rPr>
                <w:noProof/>
                <w:webHidden/>
              </w:rPr>
              <w:tab/>
            </w:r>
            <w:r w:rsidR="002940AE">
              <w:rPr>
                <w:noProof/>
                <w:webHidden/>
              </w:rPr>
              <w:fldChar w:fldCharType="begin"/>
            </w:r>
            <w:r w:rsidR="002940AE">
              <w:rPr>
                <w:noProof/>
                <w:webHidden/>
              </w:rPr>
              <w:instrText xml:space="preserve"> PAGEREF _Toc117001061 \h </w:instrText>
            </w:r>
            <w:r w:rsidR="002940AE">
              <w:rPr>
                <w:noProof/>
                <w:webHidden/>
              </w:rPr>
            </w:r>
            <w:r w:rsidR="002940AE">
              <w:rPr>
                <w:noProof/>
                <w:webHidden/>
              </w:rPr>
              <w:fldChar w:fldCharType="separate"/>
            </w:r>
            <w:r w:rsidR="00D82A57">
              <w:rPr>
                <w:noProof/>
                <w:webHidden/>
              </w:rPr>
              <w:t>27</w:t>
            </w:r>
            <w:r w:rsidR="002940AE">
              <w:rPr>
                <w:noProof/>
                <w:webHidden/>
              </w:rPr>
              <w:fldChar w:fldCharType="end"/>
            </w:r>
          </w:hyperlink>
        </w:p>
        <w:p w14:paraId="5F7595F2" w14:textId="48A8B085" w:rsidR="002940AE" w:rsidRDefault="00E9026D">
          <w:pPr>
            <w:pStyle w:val="TOC1"/>
            <w:rPr>
              <w:rFonts w:asciiTheme="minorHAnsi" w:hAnsiTheme="minorHAnsi"/>
              <w:noProof/>
              <w:color w:val="auto"/>
              <w:sz w:val="22"/>
              <w:szCs w:val="22"/>
            </w:rPr>
          </w:pPr>
          <w:hyperlink w:anchor="_Toc117001068" w:history="1">
            <w:r w:rsidR="002940AE" w:rsidRPr="00D2465D">
              <w:rPr>
                <w:rStyle w:val="Hyperlink"/>
                <w:noProof/>
              </w:rPr>
              <w:t>Appendix B: Solid Waste Planning and Facility Siting – Relevant Policy</w:t>
            </w:r>
            <w:r w:rsidR="002940AE">
              <w:rPr>
                <w:noProof/>
                <w:webHidden/>
              </w:rPr>
              <w:tab/>
            </w:r>
            <w:r w:rsidR="002940AE">
              <w:rPr>
                <w:noProof/>
                <w:webHidden/>
              </w:rPr>
              <w:fldChar w:fldCharType="begin"/>
            </w:r>
            <w:r w:rsidR="002940AE">
              <w:rPr>
                <w:noProof/>
                <w:webHidden/>
              </w:rPr>
              <w:instrText xml:space="preserve"> PAGEREF _Toc117001068 \h </w:instrText>
            </w:r>
            <w:r w:rsidR="002940AE">
              <w:rPr>
                <w:noProof/>
                <w:webHidden/>
              </w:rPr>
            </w:r>
            <w:r w:rsidR="002940AE">
              <w:rPr>
                <w:noProof/>
                <w:webHidden/>
              </w:rPr>
              <w:fldChar w:fldCharType="separate"/>
            </w:r>
            <w:r w:rsidR="00D82A57">
              <w:rPr>
                <w:noProof/>
                <w:webHidden/>
              </w:rPr>
              <w:t>33</w:t>
            </w:r>
            <w:r w:rsidR="002940AE">
              <w:rPr>
                <w:noProof/>
                <w:webHidden/>
              </w:rPr>
              <w:fldChar w:fldCharType="end"/>
            </w:r>
          </w:hyperlink>
        </w:p>
        <w:p w14:paraId="51E50AF4" w14:textId="2034FC90" w:rsidR="008314FC" w:rsidRDefault="008314FC">
          <w:r>
            <w:rPr>
              <w:b/>
              <w:bCs/>
              <w:noProof/>
            </w:rPr>
            <w:fldChar w:fldCharType="end"/>
          </w:r>
        </w:p>
      </w:sdtContent>
    </w:sdt>
    <w:p w14:paraId="692B919B" w14:textId="102B5519" w:rsidR="0067560F" w:rsidRPr="00456423" w:rsidRDefault="002657C3" w:rsidP="006845CF">
      <w:pPr>
        <w:pStyle w:val="Subtitle2"/>
      </w:pPr>
      <w:r w:rsidRPr="00456423">
        <w:t>List of Tables</w:t>
      </w:r>
    </w:p>
    <w:p w14:paraId="41D17929" w14:textId="77777777" w:rsidR="0067560F" w:rsidRPr="00456423" w:rsidRDefault="0067560F" w:rsidP="00456423">
      <w:pPr>
        <w:rPr>
          <w:rFonts w:ascii="Georgia" w:hAnsi="Georgia"/>
          <w:color w:val="3A3737" w:themeColor="text1"/>
          <w:szCs w:val="20"/>
        </w:rPr>
      </w:pPr>
    </w:p>
    <w:p w14:paraId="6B9BC4D4" w14:textId="3D29E461" w:rsidR="002E7089" w:rsidRDefault="0067560F">
      <w:pPr>
        <w:pStyle w:val="TableofFigures"/>
        <w:tabs>
          <w:tab w:val="right" w:leader="dot" w:pos="10502"/>
        </w:tabs>
        <w:rPr>
          <w:rFonts w:eastAsiaTheme="minorEastAsia" w:cstheme="minorBidi"/>
          <w:noProof/>
          <w:sz w:val="22"/>
          <w:szCs w:val="22"/>
          <w:lang w:eastAsia="en-US"/>
        </w:rPr>
      </w:pPr>
      <w:r w:rsidRPr="00456423">
        <w:rPr>
          <w:rFonts w:ascii="Georgia" w:hAnsi="Georgia"/>
          <w:color w:val="3A3737" w:themeColor="text1"/>
          <w:szCs w:val="20"/>
        </w:rPr>
        <w:fldChar w:fldCharType="begin"/>
      </w:r>
      <w:r w:rsidRPr="00456423">
        <w:rPr>
          <w:rFonts w:ascii="Georgia" w:hAnsi="Georgia"/>
          <w:color w:val="3A3737" w:themeColor="text1"/>
          <w:szCs w:val="20"/>
        </w:rPr>
        <w:instrText xml:space="preserve"> TOC \h \z \c "Table" </w:instrText>
      </w:r>
      <w:r w:rsidRPr="00456423">
        <w:rPr>
          <w:rFonts w:ascii="Georgia" w:hAnsi="Georgia"/>
          <w:color w:val="3A3737" w:themeColor="text1"/>
          <w:szCs w:val="20"/>
        </w:rPr>
        <w:fldChar w:fldCharType="separate"/>
      </w:r>
      <w:hyperlink w:anchor="_Toc116992206" w:history="1">
        <w:r w:rsidR="002E7089" w:rsidRPr="00E4585F">
          <w:rPr>
            <w:rStyle w:val="Hyperlink"/>
            <w:noProof/>
          </w:rPr>
          <w:t>Table 1</w:t>
        </w:r>
        <w:r w:rsidR="002E7089">
          <w:rPr>
            <w:rStyle w:val="Hyperlink"/>
            <w:noProof/>
          </w:rPr>
          <w:t>.</w:t>
        </w:r>
        <w:r w:rsidR="002E7089" w:rsidRPr="00E4585F">
          <w:rPr>
            <w:rStyle w:val="Hyperlink"/>
            <w:noProof/>
          </w:rPr>
          <w:t xml:space="preserve"> Collection Evaluation</w:t>
        </w:r>
        <w:r w:rsidR="002E7089">
          <w:rPr>
            <w:noProof/>
            <w:webHidden/>
          </w:rPr>
          <w:tab/>
        </w:r>
        <w:r w:rsidR="002E7089">
          <w:rPr>
            <w:noProof/>
            <w:webHidden/>
          </w:rPr>
          <w:fldChar w:fldCharType="begin"/>
        </w:r>
        <w:r w:rsidR="002E7089">
          <w:rPr>
            <w:noProof/>
            <w:webHidden/>
          </w:rPr>
          <w:instrText xml:space="preserve"> PAGEREF _Toc116992206 \h </w:instrText>
        </w:r>
        <w:r w:rsidR="002E7089">
          <w:rPr>
            <w:noProof/>
            <w:webHidden/>
          </w:rPr>
        </w:r>
        <w:r w:rsidR="002E7089">
          <w:rPr>
            <w:noProof/>
            <w:webHidden/>
          </w:rPr>
          <w:fldChar w:fldCharType="separate"/>
        </w:r>
        <w:r w:rsidR="00D82A57">
          <w:rPr>
            <w:noProof/>
            <w:webHidden/>
          </w:rPr>
          <w:t>16</w:t>
        </w:r>
        <w:r w:rsidR="002E7089">
          <w:rPr>
            <w:noProof/>
            <w:webHidden/>
          </w:rPr>
          <w:fldChar w:fldCharType="end"/>
        </w:r>
      </w:hyperlink>
    </w:p>
    <w:p w14:paraId="51DAFB04" w14:textId="1542DC8D" w:rsidR="002E7089" w:rsidRDefault="00E9026D">
      <w:pPr>
        <w:pStyle w:val="TableofFigures"/>
        <w:tabs>
          <w:tab w:val="right" w:leader="dot" w:pos="10502"/>
        </w:tabs>
        <w:rPr>
          <w:rFonts w:eastAsiaTheme="minorEastAsia" w:cstheme="minorBidi"/>
          <w:noProof/>
          <w:sz w:val="22"/>
          <w:szCs w:val="22"/>
          <w:lang w:eastAsia="en-US"/>
        </w:rPr>
      </w:pPr>
      <w:hyperlink w:anchor="_Toc116992207" w:history="1">
        <w:r w:rsidR="002E7089" w:rsidRPr="00E4585F">
          <w:rPr>
            <w:rStyle w:val="Hyperlink"/>
            <w:noProof/>
          </w:rPr>
          <w:t>Table 2. Processing Evaluation</w:t>
        </w:r>
        <w:r w:rsidR="002E7089">
          <w:rPr>
            <w:noProof/>
            <w:webHidden/>
          </w:rPr>
          <w:tab/>
        </w:r>
        <w:r w:rsidR="002E7089">
          <w:rPr>
            <w:noProof/>
            <w:webHidden/>
          </w:rPr>
          <w:fldChar w:fldCharType="begin"/>
        </w:r>
        <w:r w:rsidR="002E7089">
          <w:rPr>
            <w:noProof/>
            <w:webHidden/>
          </w:rPr>
          <w:instrText xml:space="preserve"> PAGEREF _Toc116992207 \h </w:instrText>
        </w:r>
        <w:r w:rsidR="002E7089">
          <w:rPr>
            <w:noProof/>
            <w:webHidden/>
          </w:rPr>
        </w:r>
        <w:r w:rsidR="002E7089">
          <w:rPr>
            <w:noProof/>
            <w:webHidden/>
          </w:rPr>
          <w:fldChar w:fldCharType="separate"/>
        </w:r>
        <w:r w:rsidR="00D82A57">
          <w:rPr>
            <w:noProof/>
            <w:webHidden/>
          </w:rPr>
          <w:t>18</w:t>
        </w:r>
        <w:r w:rsidR="002E7089">
          <w:rPr>
            <w:noProof/>
            <w:webHidden/>
          </w:rPr>
          <w:fldChar w:fldCharType="end"/>
        </w:r>
      </w:hyperlink>
    </w:p>
    <w:p w14:paraId="58DCA7FC" w14:textId="2F02371F" w:rsidR="002E7089" w:rsidRDefault="00E9026D">
      <w:pPr>
        <w:pStyle w:val="TableofFigures"/>
        <w:tabs>
          <w:tab w:val="right" w:leader="dot" w:pos="10502"/>
        </w:tabs>
        <w:rPr>
          <w:rFonts w:eastAsiaTheme="minorEastAsia" w:cstheme="minorBidi"/>
          <w:noProof/>
          <w:sz w:val="22"/>
          <w:szCs w:val="22"/>
          <w:lang w:eastAsia="en-US"/>
        </w:rPr>
      </w:pPr>
      <w:hyperlink w:anchor="_Toc116992208" w:history="1">
        <w:r w:rsidR="002E7089" w:rsidRPr="00E4585F">
          <w:rPr>
            <w:rStyle w:val="Hyperlink"/>
            <w:noProof/>
          </w:rPr>
          <w:t>Table 3. End-Markets Evaluation</w:t>
        </w:r>
        <w:r w:rsidR="002E7089">
          <w:rPr>
            <w:noProof/>
            <w:webHidden/>
          </w:rPr>
          <w:tab/>
        </w:r>
        <w:r w:rsidR="002E7089">
          <w:rPr>
            <w:noProof/>
            <w:webHidden/>
          </w:rPr>
          <w:fldChar w:fldCharType="begin"/>
        </w:r>
        <w:r w:rsidR="002E7089">
          <w:rPr>
            <w:noProof/>
            <w:webHidden/>
          </w:rPr>
          <w:instrText xml:space="preserve"> PAGEREF _Toc116992208 \h </w:instrText>
        </w:r>
        <w:r w:rsidR="002E7089">
          <w:rPr>
            <w:noProof/>
            <w:webHidden/>
          </w:rPr>
        </w:r>
        <w:r w:rsidR="002E7089">
          <w:rPr>
            <w:noProof/>
            <w:webHidden/>
          </w:rPr>
          <w:fldChar w:fldCharType="separate"/>
        </w:r>
        <w:r w:rsidR="00D82A57">
          <w:rPr>
            <w:noProof/>
            <w:webHidden/>
          </w:rPr>
          <w:t>20</w:t>
        </w:r>
        <w:r w:rsidR="002E7089">
          <w:rPr>
            <w:noProof/>
            <w:webHidden/>
          </w:rPr>
          <w:fldChar w:fldCharType="end"/>
        </w:r>
      </w:hyperlink>
    </w:p>
    <w:p w14:paraId="24255F17" w14:textId="1BF1BC64" w:rsidR="002E7089" w:rsidRDefault="00E9026D">
      <w:pPr>
        <w:pStyle w:val="TableofFigures"/>
        <w:tabs>
          <w:tab w:val="right" w:leader="dot" w:pos="10502"/>
        </w:tabs>
        <w:rPr>
          <w:rFonts w:eastAsiaTheme="minorEastAsia" w:cstheme="minorBidi"/>
          <w:noProof/>
          <w:sz w:val="22"/>
          <w:szCs w:val="22"/>
          <w:lang w:eastAsia="en-US"/>
        </w:rPr>
      </w:pPr>
      <w:hyperlink w:anchor="_Toc116992209" w:history="1">
        <w:r w:rsidR="002E7089" w:rsidRPr="00E4585F">
          <w:rPr>
            <w:rStyle w:val="Hyperlink"/>
            <w:noProof/>
          </w:rPr>
          <w:t>Table 4. Supporting Policies Evaluation</w:t>
        </w:r>
        <w:r w:rsidR="002E7089">
          <w:rPr>
            <w:noProof/>
            <w:webHidden/>
          </w:rPr>
          <w:tab/>
        </w:r>
        <w:r w:rsidR="002E7089">
          <w:rPr>
            <w:noProof/>
            <w:webHidden/>
          </w:rPr>
          <w:fldChar w:fldCharType="begin"/>
        </w:r>
        <w:r w:rsidR="002E7089">
          <w:rPr>
            <w:noProof/>
            <w:webHidden/>
          </w:rPr>
          <w:instrText xml:space="preserve"> PAGEREF _Toc116992209 \h </w:instrText>
        </w:r>
        <w:r w:rsidR="002E7089">
          <w:rPr>
            <w:noProof/>
            <w:webHidden/>
          </w:rPr>
        </w:r>
        <w:r w:rsidR="002E7089">
          <w:rPr>
            <w:noProof/>
            <w:webHidden/>
          </w:rPr>
          <w:fldChar w:fldCharType="separate"/>
        </w:r>
        <w:r w:rsidR="00D82A57">
          <w:rPr>
            <w:noProof/>
            <w:webHidden/>
          </w:rPr>
          <w:t>21</w:t>
        </w:r>
        <w:r w:rsidR="002E7089">
          <w:rPr>
            <w:noProof/>
            <w:webHidden/>
          </w:rPr>
          <w:fldChar w:fldCharType="end"/>
        </w:r>
      </w:hyperlink>
    </w:p>
    <w:p w14:paraId="48BDC873" w14:textId="3CC456E6" w:rsidR="002E7089" w:rsidRDefault="00E9026D">
      <w:pPr>
        <w:pStyle w:val="TableofFigures"/>
        <w:tabs>
          <w:tab w:val="right" w:leader="dot" w:pos="10502"/>
        </w:tabs>
        <w:rPr>
          <w:rFonts w:eastAsiaTheme="minorEastAsia" w:cstheme="minorBidi"/>
          <w:noProof/>
          <w:sz w:val="22"/>
          <w:szCs w:val="22"/>
          <w:lang w:eastAsia="en-US"/>
        </w:rPr>
      </w:pPr>
      <w:hyperlink w:anchor="_Toc116992210" w:history="1">
        <w:r w:rsidR="002E7089" w:rsidRPr="00E4585F">
          <w:rPr>
            <w:rStyle w:val="Hyperlink"/>
            <w:noProof/>
          </w:rPr>
          <w:t>Table 5. Education and Outreach Evaluation</w:t>
        </w:r>
        <w:r w:rsidR="002E7089">
          <w:rPr>
            <w:noProof/>
            <w:webHidden/>
          </w:rPr>
          <w:tab/>
        </w:r>
        <w:r w:rsidR="002E7089">
          <w:rPr>
            <w:noProof/>
            <w:webHidden/>
          </w:rPr>
          <w:fldChar w:fldCharType="begin"/>
        </w:r>
        <w:r w:rsidR="002E7089">
          <w:rPr>
            <w:noProof/>
            <w:webHidden/>
          </w:rPr>
          <w:instrText xml:space="preserve"> PAGEREF _Toc116992210 \h </w:instrText>
        </w:r>
        <w:r w:rsidR="002E7089">
          <w:rPr>
            <w:noProof/>
            <w:webHidden/>
          </w:rPr>
        </w:r>
        <w:r w:rsidR="002E7089">
          <w:rPr>
            <w:noProof/>
            <w:webHidden/>
          </w:rPr>
          <w:fldChar w:fldCharType="separate"/>
        </w:r>
        <w:r w:rsidR="00D82A57">
          <w:rPr>
            <w:noProof/>
            <w:webHidden/>
          </w:rPr>
          <w:t>22</w:t>
        </w:r>
        <w:r w:rsidR="002E7089">
          <w:rPr>
            <w:noProof/>
            <w:webHidden/>
          </w:rPr>
          <w:fldChar w:fldCharType="end"/>
        </w:r>
      </w:hyperlink>
    </w:p>
    <w:p w14:paraId="33BFCE7A" w14:textId="55652273" w:rsidR="002E7089" w:rsidRDefault="00E9026D">
      <w:pPr>
        <w:pStyle w:val="TableofFigures"/>
        <w:tabs>
          <w:tab w:val="right" w:leader="dot" w:pos="10502"/>
        </w:tabs>
        <w:rPr>
          <w:rFonts w:eastAsiaTheme="minorEastAsia" w:cstheme="minorBidi"/>
          <w:noProof/>
          <w:sz w:val="22"/>
          <w:szCs w:val="22"/>
          <w:lang w:eastAsia="en-US"/>
        </w:rPr>
      </w:pPr>
      <w:hyperlink w:anchor="_Toc116992211" w:history="1">
        <w:r w:rsidR="002E7089" w:rsidRPr="00E4585F">
          <w:rPr>
            <w:rStyle w:val="Hyperlink"/>
            <w:noProof/>
          </w:rPr>
          <w:t>Table 6. Public Private Partnerships Evaluation</w:t>
        </w:r>
        <w:r w:rsidR="002E7089">
          <w:rPr>
            <w:noProof/>
            <w:webHidden/>
          </w:rPr>
          <w:tab/>
        </w:r>
        <w:r w:rsidR="002E7089">
          <w:rPr>
            <w:noProof/>
            <w:webHidden/>
          </w:rPr>
          <w:fldChar w:fldCharType="begin"/>
        </w:r>
        <w:r w:rsidR="002E7089">
          <w:rPr>
            <w:noProof/>
            <w:webHidden/>
          </w:rPr>
          <w:instrText xml:space="preserve"> PAGEREF _Toc116992211 \h </w:instrText>
        </w:r>
        <w:r w:rsidR="002E7089">
          <w:rPr>
            <w:noProof/>
            <w:webHidden/>
          </w:rPr>
        </w:r>
        <w:r w:rsidR="002E7089">
          <w:rPr>
            <w:noProof/>
            <w:webHidden/>
          </w:rPr>
          <w:fldChar w:fldCharType="separate"/>
        </w:r>
        <w:r w:rsidR="00D82A57">
          <w:rPr>
            <w:noProof/>
            <w:webHidden/>
          </w:rPr>
          <w:t>23</w:t>
        </w:r>
        <w:r w:rsidR="002E7089">
          <w:rPr>
            <w:noProof/>
            <w:webHidden/>
          </w:rPr>
          <w:fldChar w:fldCharType="end"/>
        </w:r>
      </w:hyperlink>
    </w:p>
    <w:p w14:paraId="6060EAF8" w14:textId="0027D848" w:rsidR="002E7089" w:rsidRDefault="00E9026D">
      <w:pPr>
        <w:pStyle w:val="TableofFigures"/>
        <w:tabs>
          <w:tab w:val="right" w:leader="dot" w:pos="10502"/>
        </w:tabs>
        <w:rPr>
          <w:rFonts w:eastAsiaTheme="minorEastAsia" w:cstheme="minorBidi"/>
          <w:noProof/>
          <w:sz w:val="22"/>
          <w:szCs w:val="22"/>
          <w:lang w:eastAsia="en-US"/>
        </w:rPr>
      </w:pPr>
      <w:hyperlink w:anchor="_Toc116992212" w:history="1">
        <w:r w:rsidR="002E7089" w:rsidRPr="00E4585F">
          <w:rPr>
            <w:rStyle w:val="Hyperlink"/>
            <w:noProof/>
          </w:rPr>
          <w:t>Table 7</w:t>
        </w:r>
        <w:r w:rsidR="002E7089">
          <w:rPr>
            <w:rStyle w:val="Hyperlink"/>
            <w:noProof/>
          </w:rPr>
          <w:t>.</w:t>
        </w:r>
        <w:r w:rsidR="002E7089" w:rsidRPr="00E4585F">
          <w:rPr>
            <w:rStyle w:val="Hyperlink"/>
            <w:noProof/>
          </w:rPr>
          <w:t xml:space="preserve"> Summary of CRCOG Municipalities Total Waste Generation</w:t>
        </w:r>
        <w:r w:rsidR="002E7089">
          <w:rPr>
            <w:noProof/>
            <w:webHidden/>
          </w:rPr>
          <w:tab/>
        </w:r>
        <w:r w:rsidR="002E7089">
          <w:rPr>
            <w:noProof/>
            <w:webHidden/>
          </w:rPr>
          <w:fldChar w:fldCharType="begin"/>
        </w:r>
        <w:r w:rsidR="002E7089">
          <w:rPr>
            <w:noProof/>
            <w:webHidden/>
          </w:rPr>
          <w:instrText xml:space="preserve"> PAGEREF _Toc116992212 \h </w:instrText>
        </w:r>
        <w:r w:rsidR="002E7089">
          <w:rPr>
            <w:noProof/>
            <w:webHidden/>
          </w:rPr>
        </w:r>
        <w:r w:rsidR="002E7089">
          <w:rPr>
            <w:noProof/>
            <w:webHidden/>
          </w:rPr>
          <w:fldChar w:fldCharType="separate"/>
        </w:r>
        <w:r w:rsidR="00D82A57">
          <w:rPr>
            <w:noProof/>
            <w:webHidden/>
          </w:rPr>
          <w:t>31</w:t>
        </w:r>
        <w:r w:rsidR="002E7089">
          <w:rPr>
            <w:noProof/>
            <w:webHidden/>
          </w:rPr>
          <w:fldChar w:fldCharType="end"/>
        </w:r>
      </w:hyperlink>
    </w:p>
    <w:p w14:paraId="01232555" w14:textId="21D0CFF5" w:rsidR="002E7089" w:rsidRDefault="00E9026D">
      <w:pPr>
        <w:pStyle w:val="TableofFigures"/>
        <w:tabs>
          <w:tab w:val="right" w:leader="dot" w:pos="10502"/>
        </w:tabs>
        <w:rPr>
          <w:rFonts w:eastAsiaTheme="minorEastAsia" w:cstheme="minorBidi"/>
          <w:noProof/>
          <w:sz w:val="22"/>
          <w:szCs w:val="22"/>
          <w:lang w:eastAsia="en-US"/>
        </w:rPr>
      </w:pPr>
      <w:hyperlink w:anchor="_Toc116992213" w:history="1">
        <w:r w:rsidR="002E7089" w:rsidRPr="00E4585F">
          <w:rPr>
            <w:rStyle w:val="Hyperlink"/>
            <w:noProof/>
          </w:rPr>
          <w:t>Table 8</w:t>
        </w:r>
        <w:r w:rsidR="000151EB">
          <w:rPr>
            <w:rStyle w:val="Hyperlink"/>
            <w:noProof/>
          </w:rPr>
          <w:t>.</w:t>
        </w:r>
        <w:r w:rsidR="002E7089" w:rsidRPr="00E4585F">
          <w:rPr>
            <w:rStyle w:val="Hyperlink"/>
            <w:noProof/>
          </w:rPr>
          <w:t xml:space="preserve"> CT Solid Waste Management Working Group Members</w:t>
        </w:r>
        <w:r w:rsidR="002E7089">
          <w:rPr>
            <w:noProof/>
            <w:webHidden/>
          </w:rPr>
          <w:tab/>
        </w:r>
        <w:r w:rsidR="002E7089">
          <w:rPr>
            <w:noProof/>
            <w:webHidden/>
          </w:rPr>
          <w:fldChar w:fldCharType="begin"/>
        </w:r>
        <w:r w:rsidR="002E7089">
          <w:rPr>
            <w:noProof/>
            <w:webHidden/>
          </w:rPr>
          <w:instrText xml:space="preserve"> PAGEREF _Toc116992213 \h </w:instrText>
        </w:r>
        <w:r w:rsidR="002E7089">
          <w:rPr>
            <w:noProof/>
            <w:webHidden/>
          </w:rPr>
        </w:r>
        <w:r w:rsidR="002E7089">
          <w:rPr>
            <w:noProof/>
            <w:webHidden/>
          </w:rPr>
          <w:fldChar w:fldCharType="separate"/>
        </w:r>
        <w:r w:rsidR="00D82A57">
          <w:rPr>
            <w:noProof/>
            <w:webHidden/>
          </w:rPr>
          <w:t>33</w:t>
        </w:r>
        <w:r w:rsidR="002E7089">
          <w:rPr>
            <w:noProof/>
            <w:webHidden/>
          </w:rPr>
          <w:fldChar w:fldCharType="end"/>
        </w:r>
      </w:hyperlink>
    </w:p>
    <w:p w14:paraId="36AD7174" w14:textId="11C9C8D1" w:rsidR="003A73BF" w:rsidRPr="00456423" w:rsidRDefault="0067560F" w:rsidP="00456423">
      <w:pPr>
        <w:rPr>
          <w:color w:val="3A3737" w:themeColor="text1"/>
        </w:rPr>
      </w:pPr>
      <w:r w:rsidRPr="00456423">
        <w:rPr>
          <w:rFonts w:ascii="Georgia" w:hAnsi="Georgia"/>
          <w:color w:val="3A3737" w:themeColor="text1"/>
          <w:szCs w:val="20"/>
        </w:rPr>
        <w:fldChar w:fldCharType="end"/>
      </w:r>
    </w:p>
    <w:p w14:paraId="04CB8E1D" w14:textId="1EC29CB0" w:rsidR="002657C3" w:rsidRPr="00456423" w:rsidRDefault="002657C3" w:rsidP="006845CF">
      <w:pPr>
        <w:pStyle w:val="Subtitle2"/>
      </w:pPr>
      <w:r w:rsidRPr="00456423">
        <w:t xml:space="preserve">List of </w:t>
      </w:r>
      <w:r w:rsidR="00466B00">
        <w:t>figure</w:t>
      </w:r>
      <w:r w:rsidRPr="00456423">
        <w:t>s</w:t>
      </w:r>
    </w:p>
    <w:p w14:paraId="14BE81D4" w14:textId="77777777" w:rsidR="002657C3" w:rsidRPr="00456423" w:rsidRDefault="002657C3" w:rsidP="00530CF3">
      <w:pPr>
        <w:rPr>
          <w:color w:val="3A3737" w:themeColor="text1"/>
        </w:rPr>
      </w:pPr>
    </w:p>
    <w:p w14:paraId="2281A0FE" w14:textId="228DCFC4" w:rsidR="004649F3" w:rsidRDefault="009B25FD">
      <w:pPr>
        <w:pStyle w:val="TableofFigures"/>
        <w:tabs>
          <w:tab w:val="right" w:leader="dot" w:pos="10502"/>
        </w:tabs>
        <w:rPr>
          <w:rFonts w:eastAsiaTheme="minorEastAsia" w:cstheme="minorBidi"/>
          <w:noProof/>
          <w:sz w:val="22"/>
          <w:szCs w:val="22"/>
          <w:lang w:eastAsia="en-US"/>
        </w:rPr>
      </w:pPr>
      <w:r>
        <w:rPr>
          <w:rFonts w:ascii="Georgia" w:hAnsi="Georgia"/>
          <w:color w:val="3A3737" w:themeColor="text1"/>
          <w:szCs w:val="20"/>
        </w:rPr>
        <w:fldChar w:fldCharType="begin"/>
      </w:r>
      <w:r>
        <w:rPr>
          <w:rFonts w:ascii="Georgia" w:hAnsi="Georgia"/>
          <w:color w:val="3A3737" w:themeColor="text1"/>
          <w:szCs w:val="20"/>
        </w:rPr>
        <w:instrText xml:space="preserve"> TOC \h \z \c "Figure" </w:instrText>
      </w:r>
      <w:r>
        <w:rPr>
          <w:rFonts w:ascii="Georgia" w:hAnsi="Georgia"/>
          <w:color w:val="3A3737" w:themeColor="text1"/>
          <w:szCs w:val="20"/>
        </w:rPr>
        <w:fldChar w:fldCharType="separate"/>
      </w:r>
      <w:hyperlink w:anchor="_Toc116992583" w:history="1">
        <w:r w:rsidR="004649F3" w:rsidRPr="008A2876">
          <w:rPr>
            <w:rStyle w:val="Hyperlink"/>
            <w:noProof/>
          </w:rPr>
          <w:t>Figure 1</w:t>
        </w:r>
        <w:r w:rsidR="00957537">
          <w:rPr>
            <w:rStyle w:val="Hyperlink"/>
            <w:noProof/>
          </w:rPr>
          <w:t>.</w:t>
        </w:r>
        <w:r w:rsidR="004649F3" w:rsidRPr="008A2876">
          <w:rPr>
            <w:rStyle w:val="Hyperlink"/>
            <w:noProof/>
          </w:rPr>
          <w:t xml:space="preserve"> Hartford and Tolland Counties Housing Structures by Number of Units</w:t>
        </w:r>
        <w:r w:rsidR="004649F3">
          <w:rPr>
            <w:noProof/>
            <w:webHidden/>
          </w:rPr>
          <w:tab/>
        </w:r>
        <w:r w:rsidR="004649F3">
          <w:rPr>
            <w:noProof/>
            <w:webHidden/>
          </w:rPr>
          <w:fldChar w:fldCharType="begin"/>
        </w:r>
        <w:r w:rsidR="004649F3">
          <w:rPr>
            <w:noProof/>
            <w:webHidden/>
          </w:rPr>
          <w:instrText xml:space="preserve"> PAGEREF _Toc116992583 \h </w:instrText>
        </w:r>
        <w:r w:rsidR="004649F3">
          <w:rPr>
            <w:noProof/>
            <w:webHidden/>
          </w:rPr>
        </w:r>
        <w:r w:rsidR="004649F3">
          <w:rPr>
            <w:noProof/>
            <w:webHidden/>
          </w:rPr>
          <w:fldChar w:fldCharType="separate"/>
        </w:r>
        <w:r w:rsidR="00D82A57">
          <w:rPr>
            <w:noProof/>
            <w:webHidden/>
          </w:rPr>
          <w:t>5</w:t>
        </w:r>
        <w:r w:rsidR="004649F3">
          <w:rPr>
            <w:noProof/>
            <w:webHidden/>
          </w:rPr>
          <w:fldChar w:fldCharType="end"/>
        </w:r>
      </w:hyperlink>
    </w:p>
    <w:p w14:paraId="6209ECBD" w14:textId="3046F4F0" w:rsidR="004649F3" w:rsidRDefault="00E9026D">
      <w:pPr>
        <w:pStyle w:val="TableofFigures"/>
        <w:tabs>
          <w:tab w:val="right" w:leader="dot" w:pos="10502"/>
        </w:tabs>
        <w:rPr>
          <w:rFonts w:eastAsiaTheme="minorEastAsia" w:cstheme="minorBidi"/>
          <w:noProof/>
          <w:sz w:val="22"/>
          <w:szCs w:val="22"/>
          <w:lang w:eastAsia="en-US"/>
        </w:rPr>
      </w:pPr>
      <w:hyperlink w:anchor="_Toc116992584" w:history="1">
        <w:r w:rsidR="004649F3" w:rsidRPr="008A2876">
          <w:rPr>
            <w:rStyle w:val="Hyperlink"/>
            <w:noProof/>
          </w:rPr>
          <w:t>Figure 2</w:t>
        </w:r>
        <w:r w:rsidR="00957537">
          <w:rPr>
            <w:rStyle w:val="Hyperlink"/>
            <w:noProof/>
          </w:rPr>
          <w:t>.</w:t>
        </w:r>
        <w:r w:rsidR="004649F3" w:rsidRPr="008A2876">
          <w:rPr>
            <w:rStyle w:val="Hyperlink"/>
            <w:noProof/>
          </w:rPr>
          <w:t xml:space="preserve"> Employment Sectors in Tolland County</w:t>
        </w:r>
        <w:r w:rsidR="004649F3">
          <w:rPr>
            <w:noProof/>
            <w:webHidden/>
          </w:rPr>
          <w:tab/>
        </w:r>
        <w:r w:rsidR="004649F3">
          <w:rPr>
            <w:noProof/>
            <w:webHidden/>
          </w:rPr>
          <w:fldChar w:fldCharType="begin"/>
        </w:r>
        <w:r w:rsidR="004649F3">
          <w:rPr>
            <w:noProof/>
            <w:webHidden/>
          </w:rPr>
          <w:instrText xml:space="preserve"> PAGEREF _Toc116992584 \h </w:instrText>
        </w:r>
        <w:r w:rsidR="004649F3">
          <w:rPr>
            <w:noProof/>
            <w:webHidden/>
          </w:rPr>
        </w:r>
        <w:r w:rsidR="004649F3">
          <w:rPr>
            <w:noProof/>
            <w:webHidden/>
          </w:rPr>
          <w:fldChar w:fldCharType="separate"/>
        </w:r>
        <w:r w:rsidR="00D82A57">
          <w:rPr>
            <w:noProof/>
            <w:webHidden/>
          </w:rPr>
          <w:t>6</w:t>
        </w:r>
        <w:r w:rsidR="004649F3">
          <w:rPr>
            <w:noProof/>
            <w:webHidden/>
          </w:rPr>
          <w:fldChar w:fldCharType="end"/>
        </w:r>
      </w:hyperlink>
    </w:p>
    <w:p w14:paraId="31CBFEE7" w14:textId="1F448568" w:rsidR="004649F3" w:rsidRDefault="00E9026D">
      <w:pPr>
        <w:pStyle w:val="TableofFigures"/>
        <w:tabs>
          <w:tab w:val="right" w:leader="dot" w:pos="10502"/>
        </w:tabs>
        <w:rPr>
          <w:rFonts w:eastAsiaTheme="minorEastAsia" w:cstheme="minorBidi"/>
          <w:noProof/>
          <w:sz w:val="22"/>
          <w:szCs w:val="22"/>
          <w:lang w:eastAsia="en-US"/>
        </w:rPr>
      </w:pPr>
      <w:hyperlink w:anchor="_Toc116992585" w:history="1">
        <w:r w:rsidR="004649F3" w:rsidRPr="008A2876">
          <w:rPr>
            <w:rStyle w:val="Hyperlink"/>
            <w:noProof/>
          </w:rPr>
          <w:t>Figure 3</w:t>
        </w:r>
        <w:r w:rsidR="00957537">
          <w:rPr>
            <w:rStyle w:val="Hyperlink"/>
            <w:noProof/>
          </w:rPr>
          <w:t>.</w:t>
        </w:r>
        <w:r w:rsidR="004649F3" w:rsidRPr="008A2876">
          <w:rPr>
            <w:rStyle w:val="Hyperlink"/>
            <w:noProof/>
          </w:rPr>
          <w:t xml:space="preserve"> Employment Sectors in Hartford County</w:t>
        </w:r>
        <w:r w:rsidR="004649F3">
          <w:rPr>
            <w:noProof/>
            <w:webHidden/>
          </w:rPr>
          <w:tab/>
        </w:r>
        <w:r w:rsidR="004649F3">
          <w:rPr>
            <w:noProof/>
            <w:webHidden/>
          </w:rPr>
          <w:fldChar w:fldCharType="begin"/>
        </w:r>
        <w:r w:rsidR="004649F3">
          <w:rPr>
            <w:noProof/>
            <w:webHidden/>
          </w:rPr>
          <w:instrText xml:space="preserve"> PAGEREF _Toc116992585 \h </w:instrText>
        </w:r>
        <w:r w:rsidR="004649F3">
          <w:rPr>
            <w:noProof/>
            <w:webHidden/>
          </w:rPr>
        </w:r>
        <w:r w:rsidR="004649F3">
          <w:rPr>
            <w:noProof/>
            <w:webHidden/>
          </w:rPr>
          <w:fldChar w:fldCharType="separate"/>
        </w:r>
        <w:r w:rsidR="00D82A57">
          <w:rPr>
            <w:noProof/>
            <w:webHidden/>
          </w:rPr>
          <w:t>6</w:t>
        </w:r>
        <w:r w:rsidR="004649F3">
          <w:rPr>
            <w:noProof/>
            <w:webHidden/>
          </w:rPr>
          <w:fldChar w:fldCharType="end"/>
        </w:r>
      </w:hyperlink>
    </w:p>
    <w:p w14:paraId="79FEC180" w14:textId="0EBFDED1" w:rsidR="004649F3" w:rsidRDefault="00E9026D">
      <w:pPr>
        <w:pStyle w:val="TableofFigures"/>
        <w:tabs>
          <w:tab w:val="right" w:leader="dot" w:pos="10502"/>
        </w:tabs>
        <w:rPr>
          <w:rFonts w:eastAsiaTheme="minorEastAsia" w:cstheme="minorBidi"/>
          <w:noProof/>
          <w:sz w:val="22"/>
          <w:szCs w:val="22"/>
          <w:lang w:eastAsia="en-US"/>
        </w:rPr>
      </w:pPr>
      <w:hyperlink w:anchor="_Toc116992586" w:history="1">
        <w:r w:rsidR="004649F3" w:rsidRPr="008A2876">
          <w:rPr>
            <w:rStyle w:val="Hyperlink"/>
            <w:noProof/>
          </w:rPr>
          <w:t>Figure 4</w:t>
        </w:r>
        <w:r w:rsidR="00957537">
          <w:rPr>
            <w:rStyle w:val="Hyperlink"/>
            <w:noProof/>
          </w:rPr>
          <w:t>.</w:t>
        </w:r>
        <w:r w:rsidR="004649F3" w:rsidRPr="008A2876">
          <w:rPr>
            <w:rStyle w:val="Hyperlink"/>
            <w:noProof/>
          </w:rPr>
          <w:t xml:space="preserve"> CRCOG Community Trash and Recycling Collection Service Providers</w:t>
        </w:r>
        <w:r w:rsidR="004649F3">
          <w:rPr>
            <w:noProof/>
            <w:webHidden/>
          </w:rPr>
          <w:tab/>
        </w:r>
        <w:r w:rsidR="004649F3">
          <w:rPr>
            <w:noProof/>
            <w:webHidden/>
          </w:rPr>
          <w:fldChar w:fldCharType="begin"/>
        </w:r>
        <w:r w:rsidR="004649F3">
          <w:rPr>
            <w:noProof/>
            <w:webHidden/>
          </w:rPr>
          <w:instrText xml:space="preserve"> PAGEREF _Toc116992586 \h </w:instrText>
        </w:r>
        <w:r w:rsidR="004649F3">
          <w:rPr>
            <w:noProof/>
            <w:webHidden/>
          </w:rPr>
        </w:r>
        <w:r w:rsidR="004649F3">
          <w:rPr>
            <w:noProof/>
            <w:webHidden/>
          </w:rPr>
          <w:fldChar w:fldCharType="separate"/>
        </w:r>
        <w:r w:rsidR="00D82A57">
          <w:rPr>
            <w:noProof/>
            <w:webHidden/>
          </w:rPr>
          <w:t>7</w:t>
        </w:r>
        <w:r w:rsidR="004649F3">
          <w:rPr>
            <w:noProof/>
            <w:webHidden/>
          </w:rPr>
          <w:fldChar w:fldCharType="end"/>
        </w:r>
      </w:hyperlink>
    </w:p>
    <w:p w14:paraId="3D5246AF" w14:textId="39D1E166" w:rsidR="004649F3" w:rsidRDefault="00E9026D">
      <w:pPr>
        <w:pStyle w:val="TableofFigures"/>
        <w:tabs>
          <w:tab w:val="right" w:leader="dot" w:pos="10502"/>
        </w:tabs>
        <w:rPr>
          <w:rFonts w:eastAsiaTheme="minorEastAsia" w:cstheme="minorBidi"/>
          <w:noProof/>
          <w:sz w:val="22"/>
          <w:szCs w:val="22"/>
          <w:lang w:eastAsia="en-US"/>
        </w:rPr>
      </w:pPr>
      <w:hyperlink w:anchor="_Toc116992587" w:history="1">
        <w:r w:rsidR="004649F3" w:rsidRPr="008A2876">
          <w:rPr>
            <w:rStyle w:val="Hyperlink"/>
            <w:noProof/>
          </w:rPr>
          <w:t>Figure 5</w:t>
        </w:r>
        <w:r w:rsidR="00957537">
          <w:rPr>
            <w:rStyle w:val="Hyperlink"/>
            <w:noProof/>
          </w:rPr>
          <w:t>.</w:t>
        </w:r>
        <w:r w:rsidR="004649F3" w:rsidRPr="008A2876">
          <w:rPr>
            <w:rStyle w:val="Hyperlink"/>
            <w:noProof/>
          </w:rPr>
          <w:t xml:space="preserve"> Solid Waste Funding Types Used by CRCOG Communities</w:t>
        </w:r>
        <w:r w:rsidR="004649F3">
          <w:rPr>
            <w:noProof/>
            <w:webHidden/>
          </w:rPr>
          <w:tab/>
        </w:r>
        <w:r w:rsidR="004649F3">
          <w:rPr>
            <w:noProof/>
            <w:webHidden/>
          </w:rPr>
          <w:fldChar w:fldCharType="begin"/>
        </w:r>
        <w:r w:rsidR="004649F3">
          <w:rPr>
            <w:noProof/>
            <w:webHidden/>
          </w:rPr>
          <w:instrText xml:space="preserve"> PAGEREF _Toc116992587 \h </w:instrText>
        </w:r>
        <w:r w:rsidR="004649F3">
          <w:rPr>
            <w:noProof/>
            <w:webHidden/>
          </w:rPr>
        </w:r>
        <w:r w:rsidR="004649F3">
          <w:rPr>
            <w:noProof/>
            <w:webHidden/>
          </w:rPr>
          <w:fldChar w:fldCharType="separate"/>
        </w:r>
        <w:r w:rsidR="00D82A57">
          <w:rPr>
            <w:noProof/>
            <w:webHidden/>
          </w:rPr>
          <w:t>8</w:t>
        </w:r>
        <w:r w:rsidR="004649F3">
          <w:rPr>
            <w:noProof/>
            <w:webHidden/>
          </w:rPr>
          <w:fldChar w:fldCharType="end"/>
        </w:r>
      </w:hyperlink>
    </w:p>
    <w:p w14:paraId="186E72BB" w14:textId="0424FECA" w:rsidR="004649F3" w:rsidRDefault="00E9026D">
      <w:pPr>
        <w:pStyle w:val="TableofFigures"/>
        <w:tabs>
          <w:tab w:val="right" w:leader="dot" w:pos="10502"/>
        </w:tabs>
        <w:rPr>
          <w:rFonts w:eastAsiaTheme="minorEastAsia" w:cstheme="minorBidi"/>
          <w:noProof/>
          <w:sz w:val="22"/>
          <w:szCs w:val="22"/>
          <w:lang w:eastAsia="en-US"/>
        </w:rPr>
      </w:pPr>
      <w:hyperlink w:anchor="_Toc116992588" w:history="1">
        <w:r w:rsidR="004649F3" w:rsidRPr="008A2876">
          <w:rPr>
            <w:rStyle w:val="Hyperlink"/>
            <w:noProof/>
          </w:rPr>
          <w:t>Figure 6</w:t>
        </w:r>
        <w:r w:rsidR="00957537">
          <w:rPr>
            <w:rStyle w:val="Hyperlink"/>
            <w:noProof/>
          </w:rPr>
          <w:t>.</w:t>
        </w:r>
        <w:r w:rsidR="004649F3" w:rsidRPr="008A2876">
          <w:rPr>
            <w:rStyle w:val="Hyperlink"/>
            <w:noProof/>
          </w:rPr>
          <w:t xml:space="preserve"> CRCOG, CT, and Hennepin County Diversion Rates11</w:t>
        </w:r>
        <w:r w:rsidR="004649F3">
          <w:rPr>
            <w:noProof/>
            <w:webHidden/>
          </w:rPr>
          <w:tab/>
        </w:r>
        <w:r w:rsidR="004649F3">
          <w:rPr>
            <w:noProof/>
            <w:webHidden/>
          </w:rPr>
          <w:fldChar w:fldCharType="begin"/>
        </w:r>
        <w:r w:rsidR="004649F3">
          <w:rPr>
            <w:noProof/>
            <w:webHidden/>
          </w:rPr>
          <w:instrText xml:space="preserve"> PAGEREF _Toc116992588 \h </w:instrText>
        </w:r>
        <w:r w:rsidR="004649F3">
          <w:rPr>
            <w:noProof/>
            <w:webHidden/>
          </w:rPr>
        </w:r>
        <w:r w:rsidR="004649F3">
          <w:rPr>
            <w:noProof/>
            <w:webHidden/>
          </w:rPr>
          <w:fldChar w:fldCharType="separate"/>
        </w:r>
        <w:r w:rsidR="00D82A57">
          <w:rPr>
            <w:noProof/>
            <w:webHidden/>
          </w:rPr>
          <w:t>9</w:t>
        </w:r>
        <w:r w:rsidR="004649F3">
          <w:rPr>
            <w:noProof/>
            <w:webHidden/>
          </w:rPr>
          <w:fldChar w:fldCharType="end"/>
        </w:r>
      </w:hyperlink>
    </w:p>
    <w:p w14:paraId="60342A87" w14:textId="4597251A" w:rsidR="004649F3" w:rsidRDefault="00E9026D">
      <w:pPr>
        <w:pStyle w:val="TableofFigures"/>
        <w:tabs>
          <w:tab w:val="right" w:leader="dot" w:pos="10502"/>
        </w:tabs>
        <w:rPr>
          <w:rFonts w:eastAsiaTheme="minorEastAsia" w:cstheme="minorBidi"/>
          <w:noProof/>
          <w:sz w:val="22"/>
          <w:szCs w:val="22"/>
          <w:lang w:eastAsia="en-US"/>
        </w:rPr>
      </w:pPr>
      <w:hyperlink w:anchor="_Toc116992589" w:history="1">
        <w:r w:rsidR="004649F3" w:rsidRPr="008A2876">
          <w:rPr>
            <w:rStyle w:val="Hyperlink"/>
            <w:noProof/>
          </w:rPr>
          <w:t>Figure 7</w:t>
        </w:r>
        <w:r w:rsidR="00957537">
          <w:rPr>
            <w:rStyle w:val="Hyperlink"/>
            <w:noProof/>
          </w:rPr>
          <w:t>.</w:t>
        </w:r>
        <w:r w:rsidR="004649F3" w:rsidRPr="008A2876">
          <w:rPr>
            <w:rStyle w:val="Hyperlink"/>
            <w:noProof/>
          </w:rPr>
          <w:t xml:space="preserve"> 2019 CRCOG Waste Generation and Fate (Tons Per Year)</w:t>
        </w:r>
        <w:r w:rsidR="004649F3">
          <w:rPr>
            <w:noProof/>
            <w:webHidden/>
          </w:rPr>
          <w:tab/>
        </w:r>
        <w:r w:rsidR="004649F3">
          <w:rPr>
            <w:noProof/>
            <w:webHidden/>
          </w:rPr>
          <w:fldChar w:fldCharType="begin"/>
        </w:r>
        <w:r w:rsidR="004649F3">
          <w:rPr>
            <w:noProof/>
            <w:webHidden/>
          </w:rPr>
          <w:instrText xml:space="preserve"> PAGEREF _Toc116992589 \h </w:instrText>
        </w:r>
        <w:r w:rsidR="004649F3">
          <w:rPr>
            <w:noProof/>
            <w:webHidden/>
          </w:rPr>
        </w:r>
        <w:r w:rsidR="004649F3">
          <w:rPr>
            <w:noProof/>
            <w:webHidden/>
          </w:rPr>
          <w:fldChar w:fldCharType="separate"/>
        </w:r>
        <w:r w:rsidR="00D82A57">
          <w:rPr>
            <w:noProof/>
            <w:webHidden/>
          </w:rPr>
          <w:t>10</w:t>
        </w:r>
        <w:r w:rsidR="004649F3">
          <w:rPr>
            <w:noProof/>
            <w:webHidden/>
          </w:rPr>
          <w:fldChar w:fldCharType="end"/>
        </w:r>
      </w:hyperlink>
    </w:p>
    <w:p w14:paraId="4C505888" w14:textId="2EC74F8A" w:rsidR="004649F3" w:rsidRDefault="00E9026D">
      <w:pPr>
        <w:pStyle w:val="TableofFigures"/>
        <w:tabs>
          <w:tab w:val="right" w:leader="dot" w:pos="10502"/>
        </w:tabs>
        <w:rPr>
          <w:rFonts w:eastAsiaTheme="minorEastAsia" w:cstheme="minorBidi"/>
          <w:noProof/>
          <w:sz w:val="22"/>
          <w:szCs w:val="22"/>
          <w:lang w:eastAsia="en-US"/>
        </w:rPr>
      </w:pPr>
      <w:hyperlink w:anchor="_Toc116992590" w:history="1">
        <w:r w:rsidR="004649F3" w:rsidRPr="008A2876">
          <w:rPr>
            <w:rStyle w:val="Hyperlink"/>
            <w:noProof/>
          </w:rPr>
          <w:t>Figure 8</w:t>
        </w:r>
        <w:r w:rsidR="00957537">
          <w:rPr>
            <w:rStyle w:val="Hyperlink"/>
            <w:noProof/>
          </w:rPr>
          <w:t>.</w:t>
        </w:r>
        <w:r w:rsidR="004649F3" w:rsidRPr="008A2876">
          <w:rPr>
            <w:rStyle w:val="Hyperlink"/>
            <w:noProof/>
          </w:rPr>
          <w:t xml:space="preserve"> 2019 CRCOG Diverted Waste by Source and Type</w:t>
        </w:r>
        <w:r w:rsidR="004649F3">
          <w:rPr>
            <w:noProof/>
            <w:webHidden/>
          </w:rPr>
          <w:tab/>
        </w:r>
        <w:r w:rsidR="004649F3">
          <w:rPr>
            <w:noProof/>
            <w:webHidden/>
          </w:rPr>
          <w:fldChar w:fldCharType="begin"/>
        </w:r>
        <w:r w:rsidR="004649F3">
          <w:rPr>
            <w:noProof/>
            <w:webHidden/>
          </w:rPr>
          <w:instrText xml:space="preserve"> PAGEREF _Toc116992590 \h </w:instrText>
        </w:r>
        <w:r w:rsidR="004649F3">
          <w:rPr>
            <w:noProof/>
            <w:webHidden/>
          </w:rPr>
        </w:r>
        <w:r w:rsidR="004649F3">
          <w:rPr>
            <w:noProof/>
            <w:webHidden/>
          </w:rPr>
          <w:fldChar w:fldCharType="separate"/>
        </w:r>
        <w:r w:rsidR="00D82A57">
          <w:rPr>
            <w:noProof/>
            <w:webHidden/>
          </w:rPr>
          <w:t>10</w:t>
        </w:r>
        <w:r w:rsidR="004649F3">
          <w:rPr>
            <w:noProof/>
            <w:webHidden/>
          </w:rPr>
          <w:fldChar w:fldCharType="end"/>
        </w:r>
      </w:hyperlink>
    </w:p>
    <w:p w14:paraId="41612AEE" w14:textId="63BD9009" w:rsidR="004649F3" w:rsidRDefault="00E9026D">
      <w:pPr>
        <w:pStyle w:val="TableofFigures"/>
        <w:tabs>
          <w:tab w:val="right" w:leader="dot" w:pos="10502"/>
        </w:tabs>
        <w:rPr>
          <w:rFonts w:eastAsiaTheme="minorEastAsia" w:cstheme="minorBidi"/>
          <w:noProof/>
          <w:sz w:val="22"/>
          <w:szCs w:val="22"/>
          <w:lang w:eastAsia="en-US"/>
        </w:rPr>
      </w:pPr>
      <w:hyperlink r:id="rId15" w:anchor="_Toc116992591" w:history="1">
        <w:r w:rsidR="004649F3" w:rsidRPr="008A2876">
          <w:rPr>
            <w:rStyle w:val="Hyperlink"/>
            <w:noProof/>
          </w:rPr>
          <w:t>Figure 9</w:t>
        </w:r>
        <w:r w:rsidR="00957537">
          <w:rPr>
            <w:rStyle w:val="Hyperlink"/>
            <w:noProof/>
          </w:rPr>
          <w:t>.</w:t>
        </w:r>
        <w:r w:rsidR="004649F3" w:rsidRPr="008A2876">
          <w:rPr>
            <w:rStyle w:val="Hyperlink"/>
            <w:noProof/>
          </w:rPr>
          <w:t xml:space="preserve"> Residential Curbside Recyclables Collected per Household per Year</w:t>
        </w:r>
        <w:r w:rsidR="004649F3">
          <w:rPr>
            <w:noProof/>
            <w:webHidden/>
          </w:rPr>
          <w:tab/>
        </w:r>
        <w:r w:rsidR="004649F3">
          <w:rPr>
            <w:noProof/>
            <w:webHidden/>
          </w:rPr>
          <w:fldChar w:fldCharType="begin"/>
        </w:r>
        <w:r w:rsidR="004649F3">
          <w:rPr>
            <w:noProof/>
            <w:webHidden/>
          </w:rPr>
          <w:instrText xml:space="preserve"> PAGEREF _Toc116992591 \h </w:instrText>
        </w:r>
        <w:r w:rsidR="004649F3">
          <w:rPr>
            <w:noProof/>
            <w:webHidden/>
          </w:rPr>
        </w:r>
        <w:r w:rsidR="004649F3">
          <w:rPr>
            <w:noProof/>
            <w:webHidden/>
          </w:rPr>
          <w:fldChar w:fldCharType="separate"/>
        </w:r>
        <w:r w:rsidR="00D82A57">
          <w:rPr>
            <w:noProof/>
            <w:webHidden/>
          </w:rPr>
          <w:t>12</w:t>
        </w:r>
        <w:r w:rsidR="004649F3">
          <w:rPr>
            <w:noProof/>
            <w:webHidden/>
          </w:rPr>
          <w:fldChar w:fldCharType="end"/>
        </w:r>
      </w:hyperlink>
    </w:p>
    <w:p w14:paraId="47B8B7EA" w14:textId="25859056" w:rsidR="004649F3" w:rsidRDefault="00E9026D">
      <w:pPr>
        <w:pStyle w:val="TableofFigures"/>
        <w:tabs>
          <w:tab w:val="right" w:leader="dot" w:pos="10502"/>
        </w:tabs>
        <w:rPr>
          <w:rFonts w:eastAsiaTheme="minorEastAsia" w:cstheme="minorBidi"/>
          <w:noProof/>
          <w:sz w:val="22"/>
          <w:szCs w:val="22"/>
          <w:lang w:eastAsia="en-US"/>
        </w:rPr>
      </w:pPr>
      <w:hyperlink r:id="rId16" w:anchor="_Toc116992592" w:history="1">
        <w:r w:rsidR="004649F3" w:rsidRPr="008A2876">
          <w:rPr>
            <w:rStyle w:val="Hyperlink"/>
            <w:noProof/>
          </w:rPr>
          <w:t>Figure 10</w:t>
        </w:r>
        <w:r w:rsidR="00957537">
          <w:rPr>
            <w:rStyle w:val="Hyperlink"/>
            <w:noProof/>
          </w:rPr>
          <w:t>.</w:t>
        </w:r>
        <w:r w:rsidR="004649F3" w:rsidRPr="008A2876">
          <w:rPr>
            <w:rStyle w:val="Hyperlink"/>
            <w:noProof/>
          </w:rPr>
          <w:t xml:space="preserve"> Six Areas of Best Practices</w:t>
        </w:r>
        <w:r w:rsidR="004649F3">
          <w:rPr>
            <w:noProof/>
            <w:webHidden/>
          </w:rPr>
          <w:tab/>
        </w:r>
        <w:r w:rsidR="004649F3">
          <w:rPr>
            <w:noProof/>
            <w:webHidden/>
          </w:rPr>
          <w:fldChar w:fldCharType="begin"/>
        </w:r>
        <w:r w:rsidR="004649F3">
          <w:rPr>
            <w:noProof/>
            <w:webHidden/>
          </w:rPr>
          <w:instrText xml:space="preserve"> PAGEREF _Toc116992592 \h </w:instrText>
        </w:r>
        <w:r w:rsidR="004649F3">
          <w:rPr>
            <w:noProof/>
            <w:webHidden/>
          </w:rPr>
        </w:r>
        <w:r w:rsidR="004649F3">
          <w:rPr>
            <w:noProof/>
            <w:webHidden/>
          </w:rPr>
          <w:fldChar w:fldCharType="separate"/>
        </w:r>
        <w:r w:rsidR="00D82A57">
          <w:rPr>
            <w:noProof/>
            <w:webHidden/>
          </w:rPr>
          <w:t>13</w:t>
        </w:r>
        <w:r w:rsidR="004649F3">
          <w:rPr>
            <w:noProof/>
            <w:webHidden/>
          </w:rPr>
          <w:fldChar w:fldCharType="end"/>
        </w:r>
      </w:hyperlink>
    </w:p>
    <w:p w14:paraId="1474627A" w14:textId="64360584" w:rsidR="004649F3" w:rsidRDefault="00E9026D">
      <w:pPr>
        <w:pStyle w:val="TableofFigures"/>
        <w:tabs>
          <w:tab w:val="right" w:leader="dot" w:pos="10502"/>
        </w:tabs>
        <w:rPr>
          <w:rFonts w:eastAsiaTheme="minorEastAsia" w:cstheme="minorBidi"/>
          <w:noProof/>
          <w:sz w:val="22"/>
          <w:szCs w:val="22"/>
          <w:lang w:eastAsia="en-US"/>
        </w:rPr>
      </w:pPr>
      <w:hyperlink w:anchor="_Toc116992593" w:history="1">
        <w:r w:rsidR="004649F3" w:rsidRPr="008A2876">
          <w:rPr>
            <w:rStyle w:val="Hyperlink"/>
            <w:noProof/>
          </w:rPr>
          <w:t>Figure 11</w:t>
        </w:r>
        <w:r w:rsidR="00957537">
          <w:rPr>
            <w:rStyle w:val="Hyperlink"/>
            <w:noProof/>
          </w:rPr>
          <w:t>.</w:t>
        </w:r>
        <w:r w:rsidR="004649F3" w:rsidRPr="008A2876">
          <w:rPr>
            <w:rStyle w:val="Hyperlink"/>
            <w:noProof/>
          </w:rPr>
          <w:t xml:space="preserve"> 2019 Cumulative Waste-to-Energy Capacity vs. Distance</w:t>
        </w:r>
        <w:r w:rsidR="004649F3">
          <w:rPr>
            <w:noProof/>
            <w:webHidden/>
          </w:rPr>
          <w:tab/>
        </w:r>
        <w:r w:rsidR="004649F3">
          <w:rPr>
            <w:noProof/>
            <w:webHidden/>
          </w:rPr>
          <w:fldChar w:fldCharType="begin"/>
        </w:r>
        <w:r w:rsidR="004649F3">
          <w:rPr>
            <w:noProof/>
            <w:webHidden/>
          </w:rPr>
          <w:instrText xml:space="preserve"> PAGEREF _Toc116992593 \h </w:instrText>
        </w:r>
        <w:r w:rsidR="004649F3">
          <w:rPr>
            <w:noProof/>
            <w:webHidden/>
          </w:rPr>
        </w:r>
        <w:r w:rsidR="004649F3">
          <w:rPr>
            <w:noProof/>
            <w:webHidden/>
          </w:rPr>
          <w:fldChar w:fldCharType="separate"/>
        </w:r>
        <w:r w:rsidR="00D82A57">
          <w:rPr>
            <w:noProof/>
            <w:webHidden/>
          </w:rPr>
          <w:t>29</w:t>
        </w:r>
        <w:r w:rsidR="004649F3">
          <w:rPr>
            <w:noProof/>
            <w:webHidden/>
          </w:rPr>
          <w:fldChar w:fldCharType="end"/>
        </w:r>
      </w:hyperlink>
    </w:p>
    <w:p w14:paraId="4FF2AD53" w14:textId="4CD1D313" w:rsidR="004649F3" w:rsidRDefault="00E9026D">
      <w:pPr>
        <w:pStyle w:val="TableofFigures"/>
        <w:tabs>
          <w:tab w:val="right" w:leader="dot" w:pos="10502"/>
        </w:tabs>
        <w:rPr>
          <w:rFonts w:eastAsiaTheme="minorEastAsia" w:cstheme="minorBidi"/>
          <w:noProof/>
          <w:sz w:val="22"/>
          <w:szCs w:val="22"/>
          <w:lang w:eastAsia="en-US"/>
        </w:rPr>
      </w:pPr>
      <w:hyperlink w:anchor="_Toc116992594" w:history="1">
        <w:r w:rsidR="004649F3" w:rsidRPr="008A2876">
          <w:rPr>
            <w:rStyle w:val="Hyperlink"/>
            <w:noProof/>
          </w:rPr>
          <w:t>Figure 12</w:t>
        </w:r>
        <w:r w:rsidR="00957537">
          <w:rPr>
            <w:rStyle w:val="Hyperlink"/>
            <w:noProof/>
          </w:rPr>
          <w:t>.</w:t>
        </w:r>
        <w:r w:rsidR="004649F3" w:rsidRPr="008A2876">
          <w:rPr>
            <w:rStyle w:val="Hyperlink"/>
            <w:noProof/>
          </w:rPr>
          <w:t xml:space="preserve"> Transfer Station Capacity Data</w:t>
        </w:r>
        <w:r w:rsidR="004649F3">
          <w:rPr>
            <w:noProof/>
            <w:webHidden/>
          </w:rPr>
          <w:tab/>
        </w:r>
        <w:r w:rsidR="004649F3">
          <w:rPr>
            <w:noProof/>
            <w:webHidden/>
          </w:rPr>
          <w:fldChar w:fldCharType="begin"/>
        </w:r>
        <w:r w:rsidR="004649F3">
          <w:rPr>
            <w:noProof/>
            <w:webHidden/>
          </w:rPr>
          <w:instrText xml:space="preserve"> PAGEREF _Toc116992594 \h </w:instrText>
        </w:r>
        <w:r w:rsidR="004649F3">
          <w:rPr>
            <w:noProof/>
            <w:webHidden/>
          </w:rPr>
        </w:r>
        <w:r w:rsidR="004649F3">
          <w:rPr>
            <w:noProof/>
            <w:webHidden/>
          </w:rPr>
          <w:fldChar w:fldCharType="separate"/>
        </w:r>
        <w:r w:rsidR="00D82A57">
          <w:rPr>
            <w:noProof/>
            <w:webHidden/>
          </w:rPr>
          <w:t>30</w:t>
        </w:r>
        <w:r w:rsidR="004649F3">
          <w:rPr>
            <w:noProof/>
            <w:webHidden/>
          </w:rPr>
          <w:fldChar w:fldCharType="end"/>
        </w:r>
      </w:hyperlink>
    </w:p>
    <w:p w14:paraId="2BF01C2D" w14:textId="62B08911" w:rsidR="004649F3" w:rsidRDefault="00E9026D">
      <w:pPr>
        <w:pStyle w:val="TableofFigures"/>
        <w:tabs>
          <w:tab w:val="right" w:leader="dot" w:pos="10502"/>
        </w:tabs>
        <w:rPr>
          <w:rFonts w:eastAsiaTheme="minorEastAsia" w:cstheme="minorBidi"/>
          <w:noProof/>
          <w:sz w:val="22"/>
          <w:szCs w:val="22"/>
          <w:lang w:eastAsia="en-US"/>
        </w:rPr>
      </w:pPr>
      <w:hyperlink r:id="rId17" w:anchor="_Toc116992595" w:history="1">
        <w:r w:rsidR="004649F3" w:rsidRPr="008A2876">
          <w:rPr>
            <w:rStyle w:val="Hyperlink"/>
            <w:noProof/>
          </w:rPr>
          <w:t>Figure 13</w:t>
        </w:r>
        <w:r w:rsidR="00957537">
          <w:rPr>
            <w:rStyle w:val="Hyperlink"/>
            <w:noProof/>
          </w:rPr>
          <w:t>.</w:t>
        </w:r>
        <w:r w:rsidR="004649F3" w:rsidRPr="008A2876">
          <w:rPr>
            <w:rStyle w:val="Hyperlink"/>
            <w:noProof/>
          </w:rPr>
          <w:t xml:space="preserve"> Cumulative Daily Waste Management Facility Capacity vs. Distance</w:t>
        </w:r>
        <w:r w:rsidR="004649F3">
          <w:rPr>
            <w:noProof/>
            <w:webHidden/>
          </w:rPr>
          <w:tab/>
        </w:r>
        <w:r w:rsidR="004649F3">
          <w:rPr>
            <w:noProof/>
            <w:webHidden/>
          </w:rPr>
          <w:fldChar w:fldCharType="begin"/>
        </w:r>
        <w:r w:rsidR="004649F3">
          <w:rPr>
            <w:noProof/>
            <w:webHidden/>
          </w:rPr>
          <w:instrText xml:space="preserve"> PAGEREF _Toc116992595 \h </w:instrText>
        </w:r>
        <w:r w:rsidR="004649F3">
          <w:rPr>
            <w:noProof/>
            <w:webHidden/>
          </w:rPr>
        </w:r>
        <w:r w:rsidR="004649F3">
          <w:rPr>
            <w:noProof/>
            <w:webHidden/>
          </w:rPr>
          <w:fldChar w:fldCharType="separate"/>
        </w:r>
        <w:r w:rsidR="00D82A57">
          <w:rPr>
            <w:noProof/>
            <w:webHidden/>
          </w:rPr>
          <w:t>32</w:t>
        </w:r>
        <w:r w:rsidR="004649F3">
          <w:rPr>
            <w:noProof/>
            <w:webHidden/>
          </w:rPr>
          <w:fldChar w:fldCharType="end"/>
        </w:r>
      </w:hyperlink>
    </w:p>
    <w:p w14:paraId="3575A7B7" w14:textId="3A41320D" w:rsidR="004649F3" w:rsidRDefault="00E9026D">
      <w:pPr>
        <w:pStyle w:val="TableofFigures"/>
        <w:tabs>
          <w:tab w:val="right" w:leader="dot" w:pos="10502"/>
        </w:tabs>
        <w:rPr>
          <w:rFonts w:eastAsiaTheme="minorEastAsia" w:cstheme="minorBidi"/>
          <w:noProof/>
          <w:sz w:val="22"/>
          <w:szCs w:val="22"/>
          <w:lang w:eastAsia="en-US"/>
        </w:rPr>
      </w:pPr>
      <w:hyperlink r:id="rId18" w:anchor="_Toc116992596" w:history="1">
        <w:r w:rsidR="004649F3" w:rsidRPr="008A2876">
          <w:rPr>
            <w:rStyle w:val="Hyperlink"/>
            <w:noProof/>
          </w:rPr>
          <w:t>Figure 14</w:t>
        </w:r>
        <w:r w:rsidR="00957537">
          <w:rPr>
            <w:rStyle w:val="Hyperlink"/>
            <w:noProof/>
          </w:rPr>
          <w:t>.</w:t>
        </w:r>
        <w:r w:rsidR="004649F3" w:rsidRPr="008A2876">
          <w:rPr>
            <w:rStyle w:val="Hyperlink"/>
            <w:noProof/>
          </w:rPr>
          <w:t xml:space="preserve"> Environmental Justice Affecting Facilities</w:t>
        </w:r>
        <w:r w:rsidR="004649F3">
          <w:rPr>
            <w:noProof/>
            <w:webHidden/>
          </w:rPr>
          <w:tab/>
        </w:r>
        <w:r w:rsidR="004649F3">
          <w:rPr>
            <w:noProof/>
            <w:webHidden/>
          </w:rPr>
          <w:fldChar w:fldCharType="begin"/>
        </w:r>
        <w:r w:rsidR="004649F3">
          <w:rPr>
            <w:noProof/>
            <w:webHidden/>
          </w:rPr>
          <w:instrText xml:space="preserve"> PAGEREF _Toc116992596 \h </w:instrText>
        </w:r>
        <w:r w:rsidR="004649F3">
          <w:rPr>
            <w:noProof/>
            <w:webHidden/>
          </w:rPr>
        </w:r>
        <w:r w:rsidR="004649F3">
          <w:rPr>
            <w:noProof/>
            <w:webHidden/>
          </w:rPr>
          <w:fldChar w:fldCharType="separate"/>
        </w:r>
        <w:r w:rsidR="00D82A57">
          <w:rPr>
            <w:noProof/>
            <w:webHidden/>
          </w:rPr>
          <w:t>36</w:t>
        </w:r>
        <w:r w:rsidR="004649F3">
          <w:rPr>
            <w:noProof/>
            <w:webHidden/>
          </w:rPr>
          <w:fldChar w:fldCharType="end"/>
        </w:r>
      </w:hyperlink>
    </w:p>
    <w:p w14:paraId="2EE4D774" w14:textId="3566EC66" w:rsidR="00C46574" w:rsidRPr="00456423" w:rsidRDefault="009B25FD" w:rsidP="00530CF3">
      <w:pPr>
        <w:rPr>
          <w:rFonts w:ascii="Georgia" w:hAnsi="Georgia"/>
          <w:szCs w:val="20"/>
        </w:rPr>
      </w:pPr>
      <w:r>
        <w:rPr>
          <w:rFonts w:ascii="Georgia" w:eastAsia="Times New Roman" w:hAnsi="Georgia" w:cs="Times New Roman"/>
          <w:color w:val="3A3737" w:themeColor="text1"/>
          <w:szCs w:val="20"/>
          <w:lang w:eastAsia="zh-TW"/>
        </w:rPr>
        <w:fldChar w:fldCharType="end"/>
      </w:r>
      <w:r w:rsidR="008246D5" w:rsidRPr="00456423">
        <w:rPr>
          <w:rFonts w:ascii="Georgia" w:hAnsi="Georgia"/>
          <w:szCs w:val="20"/>
        </w:rPr>
        <w:br w:type="page"/>
      </w:r>
    </w:p>
    <w:p w14:paraId="308DF23B" w14:textId="5237148A" w:rsidR="00CD45E9" w:rsidRPr="00530CF3" w:rsidRDefault="005760C2" w:rsidP="009E4050">
      <w:pPr>
        <w:pStyle w:val="Heading1"/>
      </w:pPr>
      <w:bookmarkStart w:id="10" w:name="_Toc117001037"/>
      <w:r w:rsidRPr="00530CF3">
        <w:lastRenderedPageBreak/>
        <w:t>Executive Summary</w:t>
      </w:r>
      <w:bookmarkEnd w:id="10"/>
    </w:p>
    <w:p w14:paraId="6029EF86" w14:textId="648F32A0" w:rsidR="00395371" w:rsidRDefault="001329D1" w:rsidP="00AC5BFE">
      <w:r w:rsidRPr="00530CF3">
        <w:t>The Capital Region Council of Governments (CRCOG) contracted with Resource Recycling Systems (RRS) and Tetra Tech</w:t>
      </w:r>
      <w:r>
        <w:t xml:space="preserve"> (Project Team) for consulting services on municipal </w:t>
      </w:r>
      <w:r w:rsidRPr="00240FF7">
        <w:t>solid waste</w:t>
      </w:r>
      <w:r>
        <w:t xml:space="preserve"> (MSW)</w:t>
      </w:r>
      <w:r w:rsidRPr="00240FF7">
        <w:t xml:space="preserve"> stream management</w:t>
      </w:r>
      <w:r>
        <w:t xml:space="preserve">. This </w:t>
      </w:r>
      <w:r w:rsidRPr="00DB587B">
        <w:t>Municipal Long Term Solid Waste Project</w:t>
      </w:r>
      <w:r>
        <w:t xml:space="preserve"> (Project)</w:t>
      </w:r>
      <w:r w:rsidRPr="00DB587B">
        <w:t xml:space="preserve"> </w:t>
      </w:r>
      <w:r>
        <w:t xml:space="preserve">includes an analysis on the </w:t>
      </w:r>
      <w:r w:rsidRPr="005C687D">
        <w:t xml:space="preserve">viable long-term solutions, </w:t>
      </w:r>
      <w:r w:rsidR="00AA59E5" w:rsidRPr="005C687D">
        <w:t>contingencies,</w:t>
      </w:r>
      <w:r w:rsidRPr="005C687D">
        <w:t xml:space="preserve"> and strategies </w:t>
      </w:r>
      <w:r w:rsidR="00BC14BC">
        <w:t xml:space="preserve">for managing </w:t>
      </w:r>
      <w:r w:rsidR="009E3417">
        <w:t xml:space="preserve">waste flow following the closure of the </w:t>
      </w:r>
      <w:r w:rsidR="002F40B6">
        <w:t>Materials Innovation and Recycling Authority</w:t>
      </w:r>
      <w:r w:rsidR="00377796">
        <w:t xml:space="preserve"> </w:t>
      </w:r>
      <w:r w:rsidR="002F40B6">
        <w:t>(</w:t>
      </w:r>
      <w:r w:rsidR="009E3417">
        <w:t>MIRA</w:t>
      </w:r>
      <w:r w:rsidR="002F40B6">
        <w:t>)</w:t>
      </w:r>
      <w:r w:rsidR="00377796">
        <w:t xml:space="preserve"> </w:t>
      </w:r>
      <w:r w:rsidR="00BC6D99">
        <w:t>waste</w:t>
      </w:r>
      <w:r w:rsidR="00377796">
        <w:t xml:space="preserve">-to-energy </w:t>
      </w:r>
      <w:r w:rsidR="009E3417">
        <w:t>facility</w:t>
      </w:r>
      <w:r w:rsidR="00377796">
        <w:t xml:space="preserve"> </w:t>
      </w:r>
      <w:r w:rsidR="007A2370">
        <w:t xml:space="preserve">at South Meadows </w:t>
      </w:r>
      <w:r w:rsidR="00377796">
        <w:t>in Hartford</w:t>
      </w:r>
      <w:r w:rsidR="009E3417">
        <w:t xml:space="preserve"> in July 2022</w:t>
      </w:r>
      <w:r w:rsidR="00FF44D5">
        <w:t xml:space="preserve">. </w:t>
      </w:r>
    </w:p>
    <w:p w14:paraId="503A0306" w14:textId="77777777" w:rsidR="001E1114" w:rsidRDefault="001E1114" w:rsidP="00AC5BFE"/>
    <w:p w14:paraId="7B08F0AE" w14:textId="77777777" w:rsidR="008F1692" w:rsidRDefault="00146B63" w:rsidP="00AC5BFE">
      <w:r w:rsidRPr="00146B63">
        <w:t xml:space="preserve">The Project has three tasks. Task 1 is to conduct a system assessment and an infrastructure inventory. Task 2 is to identify short-term (1-5 years) solutions for waste disposal and increasing waste diversion. Task 3 is a high level, long-term (10-year) plan for resource recovery and disposal options. </w:t>
      </w:r>
    </w:p>
    <w:p w14:paraId="471F2020" w14:textId="77777777" w:rsidR="008F1692" w:rsidRDefault="008F1692" w:rsidP="00AC5BFE"/>
    <w:p w14:paraId="7C8ECCAD" w14:textId="7CC29FAD" w:rsidR="001E1114" w:rsidRDefault="00146B63" w:rsidP="00AC5BFE">
      <w:r w:rsidRPr="00146B63">
        <w:t>This document serves as the deliverable for Task 1.</w:t>
      </w:r>
      <w:r w:rsidR="008F1692">
        <w:t xml:space="preserve"> </w:t>
      </w:r>
      <w:r w:rsidR="00ED6D37">
        <w:t xml:space="preserve">Delivery of the </w:t>
      </w:r>
      <w:r w:rsidR="008F1692" w:rsidRPr="008F1692">
        <w:t xml:space="preserve">Task 2 </w:t>
      </w:r>
      <w:r w:rsidR="00ED6D37">
        <w:t xml:space="preserve">report is </w:t>
      </w:r>
      <w:r w:rsidR="008F1692" w:rsidRPr="008F1692">
        <w:t xml:space="preserve">scheduled for </w:t>
      </w:r>
      <w:r w:rsidR="008F1692">
        <w:t>December 1, 2022</w:t>
      </w:r>
      <w:r w:rsidR="008F1692" w:rsidRPr="008F1692">
        <w:t xml:space="preserve">. Approval for Task 3 is pending </w:t>
      </w:r>
      <w:r w:rsidR="00183730">
        <w:t xml:space="preserve">upon </w:t>
      </w:r>
      <w:r w:rsidR="008F1692" w:rsidRPr="008F1692">
        <w:t>notice to proceed.</w:t>
      </w:r>
    </w:p>
    <w:p w14:paraId="1ECCA5E7" w14:textId="77777777" w:rsidR="00590345" w:rsidRDefault="00590345" w:rsidP="00961081"/>
    <w:p w14:paraId="620A4044" w14:textId="02DEF337" w:rsidR="00590345" w:rsidRDefault="00590345" w:rsidP="00961081">
      <w:r>
        <w:t xml:space="preserve">Key </w:t>
      </w:r>
      <w:r w:rsidR="000C624F">
        <w:t>t</w:t>
      </w:r>
      <w:r w:rsidR="00CE3F46">
        <w:t xml:space="preserve">ake </w:t>
      </w:r>
      <w:r w:rsidR="000C624F">
        <w:t>a</w:t>
      </w:r>
      <w:r w:rsidR="00CE3F46">
        <w:t xml:space="preserve">ways </w:t>
      </w:r>
      <w:r w:rsidR="126AAE56">
        <w:t xml:space="preserve">for </w:t>
      </w:r>
      <w:r w:rsidR="00CE3F46">
        <w:t xml:space="preserve">the </w:t>
      </w:r>
      <w:r w:rsidR="002D1C77">
        <w:t>Task 1</w:t>
      </w:r>
      <w:r w:rsidR="126AAE56">
        <w:t xml:space="preserve"> </w:t>
      </w:r>
      <w:r w:rsidR="00CE3F46">
        <w:t>S</w:t>
      </w:r>
      <w:r>
        <w:t xml:space="preserve">ystem </w:t>
      </w:r>
      <w:r w:rsidR="00CE3F46">
        <w:t>A</w:t>
      </w:r>
      <w:r>
        <w:t xml:space="preserve">ssessment and </w:t>
      </w:r>
      <w:r w:rsidR="00CE3F46">
        <w:t>I</w:t>
      </w:r>
      <w:r>
        <w:t xml:space="preserve">nfrastructure </w:t>
      </w:r>
      <w:r w:rsidR="00CE3F46">
        <w:t>I</w:t>
      </w:r>
      <w:r>
        <w:t>nventory include the following:</w:t>
      </w:r>
    </w:p>
    <w:p w14:paraId="6BB4D588" w14:textId="77777777" w:rsidR="00590345" w:rsidRDefault="00590345" w:rsidP="00961081"/>
    <w:p w14:paraId="3913FD1E" w14:textId="77777777" w:rsidR="00536EB1" w:rsidRDefault="18D144BA" w:rsidP="00937BB9">
      <w:pPr>
        <w:pStyle w:val="ListParagraph"/>
        <w:numPr>
          <w:ilvl w:val="0"/>
          <w:numId w:val="40"/>
        </w:numPr>
        <w:spacing w:after="240"/>
        <w:contextualSpacing w:val="0"/>
      </w:pPr>
      <w:r>
        <w:t xml:space="preserve">CRCOG communities </w:t>
      </w:r>
      <w:r w:rsidR="1256C3CA">
        <w:t xml:space="preserve">are in critical </w:t>
      </w:r>
      <w:r w:rsidR="53751D8B">
        <w:t>need</w:t>
      </w:r>
      <w:r>
        <w:t xml:space="preserve"> </w:t>
      </w:r>
      <w:r w:rsidR="64AF1974">
        <w:t xml:space="preserve">of </w:t>
      </w:r>
      <w:r w:rsidR="01C76F50">
        <w:t xml:space="preserve">additional transfer station and disposal capacity to </w:t>
      </w:r>
      <w:r w:rsidR="268D82BD">
        <w:t xml:space="preserve">meet </w:t>
      </w:r>
      <w:r w:rsidR="01C76F50">
        <w:t>waste</w:t>
      </w:r>
      <w:r w:rsidR="44C698E1">
        <w:t xml:space="preserve"> generation rates</w:t>
      </w:r>
      <w:r w:rsidR="01C76F50">
        <w:t>.</w:t>
      </w:r>
      <w:r w:rsidR="00183730">
        <w:rPr>
          <w:rStyle w:val="FootnoteReference"/>
        </w:rPr>
        <w:footnoteReference w:id="2"/>
      </w:r>
      <w:r w:rsidR="01C76F50">
        <w:t xml:space="preserve"> </w:t>
      </w:r>
    </w:p>
    <w:p w14:paraId="469D2626" w14:textId="355058AF" w:rsidR="00305D8B" w:rsidRDefault="006F1682" w:rsidP="00937BB9">
      <w:pPr>
        <w:pStyle w:val="ListParagraph"/>
        <w:numPr>
          <w:ilvl w:val="0"/>
          <w:numId w:val="40"/>
        </w:numPr>
        <w:spacing w:after="240"/>
        <w:contextualSpacing w:val="0"/>
      </w:pPr>
      <w:r>
        <w:t>Lack of local and regional waste transfer and disposal facilities will result in high hauling costs</w:t>
      </w:r>
      <w:r w:rsidR="005C7C89">
        <w:t xml:space="preserve"> </w:t>
      </w:r>
      <w:r w:rsidR="252EC79A">
        <w:t xml:space="preserve">until additional </w:t>
      </w:r>
      <w:r w:rsidR="3AFCD557">
        <w:t>capacity can be developed</w:t>
      </w:r>
      <w:r w:rsidR="442A174E">
        <w:t>.</w:t>
      </w:r>
    </w:p>
    <w:p w14:paraId="7743704A" w14:textId="7FD2D6FB" w:rsidR="00F43CC2" w:rsidRDefault="000D2BFC" w:rsidP="00937BB9">
      <w:pPr>
        <w:pStyle w:val="ListParagraph"/>
        <w:numPr>
          <w:ilvl w:val="0"/>
          <w:numId w:val="40"/>
        </w:numPr>
        <w:spacing w:after="240"/>
        <w:contextualSpacing w:val="0"/>
      </w:pPr>
      <w:r>
        <w:t xml:space="preserve">CRCOG can </w:t>
      </w:r>
      <w:r w:rsidR="00B42323">
        <w:t>more than double the volume of waste diverted</w:t>
      </w:r>
      <w:r w:rsidR="003706D9">
        <w:t xml:space="preserve"> </w:t>
      </w:r>
      <w:r w:rsidR="00F43CC2">
        <w:t>from landfill and waste to energy through increasing recycling</w:t>
      </w:r>
      <w:r w:rsidR="007677F6">
        <w:t xml:space="preserve">, </w:t>
      </w:r>
      <w:r w:rsidR="00F43CC2">
        <w:t xml:space="preserve">composting and anaerobic digestion, thereby reducing </w:t>
      </w:r>
      <w:r w:rsidR="001B38E3">
        <w:t>the volume of waste to be disposed</w:t>
      </w:r>
      <w:r w:rsidR="00F95DD0">
        <w:t xml:space="preserve"> and aligning with the CT DEEP</w:t>
      </w:r>
      <w:r w:rsidR="00F35522">
        <w:t xml:space="preserve"> 60% waste diversion goal</w:t>
      </w:r>
      <w:r w:rsidR="001B38E3">
        <w:t>.</w:t>
      </w:r>
    </w:p>
    <w:p w14:paraId="2FEEA8A4" w14:textId="55340731" w:rsidR="00B06683" w:rsidRDefault="001B38E3" w:rsidP="7830B9D9">
      <w:pPr>
        <w:pStyle w:val="ListParagraph"/>
        <w:numPr>
          <w:ilvl w:val="0"/>
          <w:numId w:val="40"/>
        </w:numPr>
        <w:spacing w:after="240"/>
      </w:pPr>
      <w:r>
        <w:t xml:space="preserve">The system assessment identified </w:t>
      </w:r>
      <w:r w:rsidR="00D80069">
        <w:t>strengths and gaps among si</w:t>
      </w:r>
      <w:r w:rsidR="00B84440">
        <w:t>x best practice areas</w:t>
      </w:r>
      <w:r w:rsidR="001662CF">
        <w:t>. Opportunities for improvement were</w:t>
      </w:r>
      <w:r w:rsidR="00B84440">
        <w:t xml:space="preserve"> </w:t>
      </w:r>
      <w:r w:rsidR="001662CF">
        <w:t>identified in all six attribute areas.</w:t>
      </w:r>
    </w:p>
    <w:p w14:paraId="084D2A01" w14:textId="77777777" w:rsidR="00820E28" w:rsidRDefault="00820E28" w:rsidP="00820E28">
      <w:pPr>
        <w:pStyle w:val="ListParagraph"/>
        <w:spacing w:after="240"/>
      </w:pPr>
    </w:p>
    <w:p w14:paraId="62F07F40" w14:textId="00F1BCF1" w:rsidR="00483D11" w:rsidRDefault="00BE138A" w:rsidP="00937BB9">
      <w:pPr>
        <w:pStyle w:val="ListParagraph"/>
        <w:numPr>
          <w:ilvl w:val="0"/>
          <w:numId w:val="40"/>
        </w:numPr>
        <w:spacing w:after="240"/>
        <w:contextualSpacing w:val="0"/>
      </w:pPr>
      <w:r>
        <w:t>R</w:t>
      </w:r>
      <w:r w:rsidR="00B06683">
        <w:t>esidential and commercial food waste diversion</w:t>
      </w:r>
      <w:r>
        <w:t xml:space="preserve"> in CRCOG communities currently is minimal and </w:t>
      </w:r>
      <w:r w:rsidR="007D574E">
        <w:t xml:space="preserve">represents a significant waste diversion opportunity. </w:t>
      </w:r>
    </w:p>
    <w:p w14:paraId="5FFB15D4" w14:textId="43117BF2" w:rsidR="00456423" w:rsidRPr="001662CF" w:rsidRDefault="001C3FC1" w:rsidP="7830B9D9">
      <w:pPr>
        <w:pStyle w:val="ListParagraph"/>
        <w:numPr>
          <w:ilvl w:val="0"/>
          <w:numId w:val="40"/>
        </w:numPr>
        <w:spacing w:after="240"/>
      </w:pPr>
      <w:r>
        <w:t>O</w:t>
      </w:r>
      <w:r w:rsidR="00483D11">
        <w:t xml:space="preserve">pportunities </w:t>
      </w:r>
      <w:r>
        <w:t xml:space="preserve">also </w:t>
      </w:r>
      <w:r w:rsidR="00483D11">
        <w:t>are available to increase the volume of recyclables collected through enhancing outreach</w:t>
      </w:r>
      <w:r w:rsidR="1F3BA27F">
        <w:t xml:space="preserve">, </w:t>
      </w:r>
      <w:r w:rsidR="00AA59E5">
        <w:t>education,</w:t>
      </w:r>
      <w:r w:rsidR="3729CDF2">
        <w:t xml:space="preserve"> and regional partnerships</w:t>
      </w:r>
      <w:r w:rsidR="00223F24">
        <w:t xml:space="preserve">, including technical assistance, to single family homes, multifamily </w:t>
      </w:r>
      <w:r w:rsidR="0020430E">
        <w:t>homes,</w:t>
      </w:r>
      <w:r w:rsidR="00223F24">
        <w:t xml:space="preserve"> and businesses.</w:t>
      </w:r>
      <w:r w:rsidR="00B06683">
        <w:t xml:space="preserve"> </w:t>
      </w:r>
      <w:r w:rsidR="00456423">
        <w:br w:type="page"/>
      </w:r>
    </w:p>
    <w:p w14:paraId="6F51143A" w14:textId="599A0464" w:rsidR="00D32613" w:rsidRDefault="00D32613" w:rsidP="009E4050">
      <w:pPr>
        <w:pStyle w:val="Heading1"/>
      </w:pPr>
      <w:bookmarkStart w:id="11" w:name="_Toc117001038"/>
      <w:r>
        <w:lastRenderedPageBreak/>
        <w:t>Introduction</w:t>
      </w:r>
      <w:bookmarkEnd w:id="11"/>
    </w:p>
    <w:p w14:paraId="342D6BF3" w14:textId="7C2A843D" w:rsidR="00D32613" w:rsidRPr="00C334A0" w:rsidRDefault="00D32613" w:rsidP="00D32613">
      <w:pPr>
        <w:pStyle w:val="Subtitle"/>
      </w:pPr>
      <w:bookmarkStart w:id="12" w:name="_Toc40453251"/>
      <w:bookmarkStart w:id="13" w:name="_Toc117000316"/>
      <w:bookmarkStart w:id="14" w:name="_Toc117001039"/>
      <w:r w:rsidRPr="00C334A0">
        <w:t xml:space="preserve">Project </w:t>
      </w:r>
      <w:bookmarkEnd w:id="12"/>
      <w:r w:rsidRPr="00C334A0">
        <w:t>Background</w:t>
      </w:r>
      <w:bookmarkEnd w:id="13"/>
      <w:bookmarkEnd w:id="14"/>
    </w:p>
    <w:p w14:paraId="4D931DA5" w14:textId="1412A814" w:rsidR="00D32613" w:rsidRDefault="00D32613" w:rsidP="00D32613">
      <w:r>
        <w:t xml:space="preserve">Following </w:t>
      </w:r>
      <w:r w:rsidR="19B7A2CC">
        <w:t>adoption of</w:t>
      </w:r>
      <w:r>
        <w:t xml:space="preserve"> the 2016 </w:t>
      </w:r>
      <w:r w:rsidRPr="004F0E83">
        <w:t>Comprehensive Materials Management Strategy</w:t>
      </w:r>
      <w:r>
        <w:rPr>
          <w:rStyle w:val="FootnoteReference"/>
        </w:rPr>
        <w:footnoteReference w:id="3"/>
      </w:r>
      <w:r>
        <w:t xml:space="preserve"> </w:t>
      </w:r>
      <w:r w:rsidRPr="004F0E83">
        <w:t>(CMMS)</w:t>
      </w:r>
      <w:r>
        <w:t xml:space="preserve"> as a roadmap, CRCOG aims to work toward</w:t>
      </w:r>
      <w:r w:rsidRPr="004F0E83">
        <w:t xml:space="preserve"> the </w:t>
      </w:r>
      <w:r>
        <w:t xml:space="preserve">statewide </w:t>
      </w:r>
      <w:r w:rsidRPr="004F0E83">
        <w:t>goal of 60</w:t>
      </w:r>
      <w:r>
        <w:t xml:space="preserve">% </w:t>
      </w:r>
      <w:r w:rsidRPr="004F0E83">
        <w:t>diversion of</w:t>
      </w:r>
      <w:r w:rsidR="007F798D">
        <w:t xml:space="preserve"> waste from landfills and waste to energy facilities</w:t>
      </w:r>
      <w:r w:rsidRPr="004F0E83">
        <w:t xml:space="preserve"> by 2024</w:t>
      </w:r>
      <w:r w:rsidR="001172C5" w:rsidRPr="004F0E83">
        <w:t xml:space="preserve">. </w:t>
      </w:r>
      <w:r>
        <w:t>The CMMS</w:t>
      </w:r>
      <w:r w:rsidRPr="004F0E83">
        <w:t xml:space="preserve"> constitutes </w:t>
      </w:r>
      <w:r w:rsidR="629FDF7A" w:rsidRPr="004F0E83">
        <w:t xml:space="preserve">a component of </w:t>
      </w:r>
      <w:r w:rsidRPr="004F0E83">
        <w:t xml:space="preserve">the revised </w:t>
      </w:r>
      <w:r>
        <w:t xml:space="preserve">CT </w:t>
      </w:r>
      <w:r w:rsidRPr="004F0E83">
        <w:t xml:space="preserve">Solid Waste Management Plan </w:t>
      </w:r>
      <w:r>
        <w:t>required</w:t>
      </w:r>
      <w:r w:rsidRPr="004F0E83">
        <w:t xml:space="preserve"> by Public Act 14-94.</w:t>
      </w:r>
      <w:r>
        <w:rPr>
          <w:rStyle w:val="FootnoteReference"/>
        </w:rPr>
        <w:footnoteReference w:id="4"/>
      </w:r>
      <w:r w:rsidRPr="004F0E83">
        <w:t xml:space="preserve">  </w:t>
      </w:r>
      <w:r>
        <w:t>The strategic goals of the CMMS include:</w:t>
      </w:r>
    </w:p>
    <w:p w14:paraId="1FE53103" w14:textId="77777777" w:rsidR="00D32613" w:rsidRDefault="00D32613" w:rsidP="00D32613"/>
    <w:p w14:paraId="36961369" w14:textId="77777777" w:rsidR="00D32613" w:rsidRDefault="00D32613" w:rsidP="00D32613">
      <w:pPr>
        <w:pStyle w:val="ListParagraph"/>
        <w:numPr>
          <w:ilvl w:val="0"/>
          <w:numId w:val="21"/>
        </w:numPr>
      </w:pPr>
      <w:r>
        <w:t>Modernization of solid waste and materials management infrastructure throughout the state.</w:t>
      </w:r>
    </w:p>
    <w:p w14:paraId="36737C63" w14:textId="77777777" w:rsidR="00D32613" w:rsidRDefault="00D32613" w:rsidP="00D32613">
      <w:pPr>
        <w:pStyle w:val="ListParagraph"/>
        <w:numPr>
          <w:ilvl w:val="0"/>
          <w:numId w:val="21"/>
        </w:numPr>
      </w:pPr>
      <w:r>
        <w:t>Management of (source) separated organic materials.</w:t>
      </w:r>
    </w:p>
    <w:p w14:paraId="0777A242" w14:textId="77777777" w:rsidR="00D32613" w:rsidRDefault="00D32613" w:rsidP="00D32613">
      <w:pPr>
        <w:pStyle w:val="ListParagraph"/>
        <w:numPr>
          <w:ilvl w:val="0"/>
          <w:numId w:val="21"/>
        </w:numPr>
      </w:pPr>
      <w:r>
        <w:t>Reuse and recycling of construction and demolition (C&amp;D) materials.</w:t>
      </w:r>
    </w:p>
    <w:p w14:paraId="13986B9C" w14:textId="77777777" w:rsidR="00D32613" w:rsidRDefault="00D32613" w:rsidP="00D32613">
      <w:pPr>
        <w:pStyle w:val="ListParagraph"/>
        <w:numPr>
          <w:ilvl w:val="0"/>
          <w:numId w:val="21"/>
        </w:numPr>
      </w:pPr>
      <w:r>
        <w:t>Development of recycling facilities, materials recovery facilities (MRFs), and other types of intermediate processing facilities.</w:t>
      </w:r>
    </w:p>
    <w:p w14:paraId="59650AE6" w14:textId="77777777" w:rsidR="00D32613" w:rsidRDefault="00D32613" w:rsidP="00D32613">
      <w:pPr>
        <w:pStyle w:val="ListParagraph"/>
        <w:numPr>
          <w:ilvl w:val="0"/>
          <w:numId w:val="21"/>
        </w:numPr>
      </w:pPr>
      <w:r>
        <w:t xml:space="preserve">Recommendations for the development and implementation of regional and/or local recycling programs. </w:t>
      </w:r>
    </w:p>
    <w:p w14:paraId="1460017C" w14:textId="77777777" w:rsidR="00D32613" w:rsidRDefault="00D32613" w:rsidP="00D32613">
      <w:pPr>
        <w:pStyle w:val="ListParagraph"/>
        <w:numPr>
          <w:ilvl w:val="0"/>
          <w:numId w:val="21"/>
        </w:numPr>
      </w:pPr>
      <w:r>
        <w:t xml:space="preserve">Options for local compliance of municipalities with recycling requirements. </w:t>
      </w:r>
    </w:p>
    <w:p w14:paraId="4225A30D" w14:textId="77777777" w:rsidR="00D32613" w:rsidRDefault="00D32613" w:rsidP="00D32613">
      <w:pPr>
        <w:pStyle w:val="ListParagraph"/>
        <w:ind w:left="771"/>
      </w:pPr>
    </w:p>
    <w:p w14:paraId="68E0E907" w14:textId="77777777" w:rsidR="006A575E" w:rsidRDefault="006A575E" w:rsidP="00D32613"/>
    <w:p w14:paraId="38ECFB9F" w14:textId="4710D2A2" w:rsidR="00D32613" w:rsidRDefault="003F683D" w:rsidP="00D32613">
      <w:r w:rsidRPr="00455133">
        <w:t xml:space="preserve">The Connecticut </w:t>
      </w:r>
      <w:r w:rsidR="005C7C31" w:rsidRPr="00455133">
        <w:t>S</w:t>
      </w:r>
      <w:r w:rsidRPr="00455133">
        <w:t xml:space="preserve">olid </w:t>
      </w:r>
      <w:r w:rsidR="005C7C31" w:rsidRPr="00455133">
        <w:t>W</w:t>
      </w:r>
      <w:r w:rsidRPr="00455133">
        <w:t xml:space="preserve">aste </w:t>
      </w:r>
      <w:r w:rsidR="005C7C31" w:rsidRPr="00455133">
        <w:t>S</w:t>
      </w:r>
      <w:r w:rsidRPr="00455133">
        <w:t>ystem</w:t>
      </w:r>
      <w:r w:rsidR="005C7C31" w:rsidRPr="00455133">
        <w:t xml:space="preserve"> (CSWS) </w:t>
      </w:r>
      <w:r w:rsidRPr="00455133">
        <w:t>is a hub</w:t>
      </w:r>
      <w:r w:rsidR="00C95249" w:rsidRPr="00455133">
        <w:t>-</w:t>
      </w:r>
      <w:r w:rsidRPr="00455133">
        <w:t>and</w:t>
      </w:r>
      <w:r w:rsidR="00C95249" w:rsidRPr="00455133">
        <w:t>-</w:t>
      </w:r>
      <w:r w:rsidRPr="00455133">
        <w:t>spoke model</w:t>
      </w:r>
      <w:r w:rsidR="009E10B0" w:rsidRPr="00455133">
        <w:t xml:space="preserve"> that </w:t>
      </w:r>
      <w:r w:rsidR="00D32613" w:rsidRPr="00455133">
        <w:t xml:space="preserve">services </w:t>
      </w:r>
      <w:r w:rsidR="006F059A" w:rsidRPr="00455133">
        <w:t>seventy</w:t>
      </w:r>
      <w:r w:rsidR="00D32613" w:rsidRPr="00455133">
        <w:t xml:space="preserve"> (</w:t>
      </w:r>
      <w:r w:rsidR="006F059A" w:rsidRPr="00455133">
        <w:t>70</w:t>
      </w:r>
      <w:r w:rsidR="00D32613" w:rsidRPr="00455133">
        <w:t>) municipalities</w:t>
      </w:r>
      <w:r w:rsidR="003F7E76" w:rsidRPr="00455133">
        <w:t xml:space="preserve"> </w:t>
      </w:r>
      <w:r w:rsidR="00CF482A" w:rsidRPr="00455133">
        <w:t>throughout the state</w:t>
      </w:r>
      <w:r w:rsidR="00634B1C" w:rsidRPr="00455133">
        <w:rPr>
          <w:rStyle w:val="FootnoteReference"/>
        </w:rPr>
        <w:footnoteReference w:id="5"/>
      </w:r>
      <w:r w:rsidR="00CF482A" w:rsidRPr="00455133">
        <w:t xml:space="preserve">, </w:t>
      </w:r>
      <w:r w:rsidR="003777AD" w:rsidRPr="00455133">
        <w:t xml:space="preserve">including the majority of </w:t>
      </w:r>
      <w:r w:rsidR="00D32613" w:rsidRPr="00455133">
        <w:t xml:space="preserve">CRCOG </w:t>
      </w:r>
      <w:r w:rsidR="003777AD" w:rsidRPr="00455133">
        <w:t>communities</w:t>
      </w:r>
      <w:r w:rsidR="00D32613" w:rsidRPr="00455133">
        <w:t>.</w:t>
      </w:r>
      <w:r w:rsidR="0001175F">
        <w:t xml:space="preserve"> </w:t>
      </w:r>
      <w:r w:rsidR="00EC0787" w:rsidRPr="00455133">
        <w:t>The hub of the system include</w:t>
      </w:r>
      <w:r w:rsidR="00E71589" w:rsidRPr="00455133">
        <w:t>d</w:t>
      </w:r>
      <w:r w:rsidR="00EC0787" w:rsidRPr="00455133">
        <w:t xml:space="preserve"> a sin</w:t>
      </w:r>
      <w:r w:rsidR="00EC0787" w:rsidRPr="00EC0787">
        <w:t>gle-stream recycling facility and a resource recovery facility, both located in the South Meadows section of Hartford</w:t>
      </w:r>
      <w:r w:rsidR="003F7E76">
        <w:rPr>
          <w:rStyle w:val="FootnoteReference"/>
        </w:rPr>
        <w:footnoteReference w:id="6"/>
      </w:r>
      <w:r w:rsidR="001172C5" w:rsidRPr="00EC0787">
        <w:t>.</w:t>
      </w:r>
      <w:r w:rsidR="001172C5">
        <w:t xml:space="preserve"> </w:t>
      </w:r>
      <w:r w:rsidR="00D32613">
        <w:t xml:space="preserve">With the closure of MIRA’s waste-to-energy (WTE) facility </w:t>
      </w:r>
      <w:r w:rsidR="006C5B74">
        <w:t xml:space="preserve">in Hartford </w:t>
      </w:r>
      <w:r w:rsidR="00D32613">
        <w:t>and the state</w:t>
      </w:r>
      <w:r w:rsidR="00EE04E1">
        <w:t xml:space="preserve"> looking to develop</w:t>
      </w:r>
      <w:r w:rsidR="00D32613">
        <w:t xml:space="preserve"> long-term plans for managing MSW, there are rising concerns about future solid waste transportation cost and infrastructure investments. </w:t>
      </w:r>
    </w:p>
    <w:p w14:paraId="155D67B3" w14:textId="77777777" w:rsidR="00A47A06" w:rsidRDefault="00A47A06" w:rsidP="00D32613"/>
    <w:p w14:paraId="4CAAF3EE" w14:textId="694A2051" w:rsidR="00A47A06" w:rsidRDefault="00026DFF" w:rsidP="00D32613">
      <w:r w:rsidRPr="00026DFF">
        <w:t>In 2021, MIRA reported they had Municipal Service Agreements (MSAs) with forty-nine (49), forty-eight 48 with term through June 2027 with an opt-out in each March, and one-year delivery agreements with 30 private haulers. With the closure of MIRA’s waste-to-energy (WTE) facility in July 2022</w:t>
      </w:r>
      <w:r>
        <w:rPr>
          <w:rStyle w:val="FootnoteReference"/>
        </w:rPr>
        <w:footnoteReference w:id="7"/>
      </w:r>
      <w:r w:rsidRPr="00026DFF">
        <w:t xml:space="preserve">  in Hartford and the state looking to develop long-term plans for managing MSW, there are rising concerns about future solid waste transportation cost and infrastructure investments.</w:t>
      </w:r>
    </w:p>
    <w:p w14:paraId="767DCAB1" w14:textId="77777777" w:rsidR="00D32613" w:rsidRDefault="00D32613" w:rsidP="00D32613"/>
    <w:p w14:paraId="52D5D086" w14:textId="2FE907E1" w:rsidR="00D32613" w:rsidRDefault="00D32613" w:rsidP="00D32613">
      <w:pPr>
        <w:pStyle w:val="Subtitle"/>
      </w:pPr>
      <w:bookmarkStart w:id="15" w:name="_Toc40453252"/>
      <w:bookmarkStart w:id="16" w:name="_Toc117000317"/>
      <w:bookmarkStart w:id="17" w:name="_Toc117001040"/>
      <w:r>
        <w:t>Project Objectives</w:t>
      </w:r>
      <w:bookmarkEnd w:id="15"/>
      <w:bookmarkEnd w:id="16"/>
      <w:bookmarkEnd w:id="17"/>
    </w:p>
    <w:p w14:paraId="6FAD97FE" w14:textId="2A0EBB45" w:rsidR="00D32613" w:rsidRPr="00530CF3" w:rsidRDefault="00D32613" w:rsidP="00D32613">
      <w:r w:rsidRPr="00530CF3">
        <w:t xml:space="preserve">The Capital Region Council of Governments (CRCOG) contracted with Resource Recycling Systems (RRS) and Tetra Tech to conduct a three-phase project. Task 1 is to conduct a system assessment and an infrastructure inventory. Task 2 is to identify short-term (1-5 years) solutions for waste disposal and </w:t>
      </w:r>
      <w:r w:rsidRPr="00530CF3">
        <w:lastRenderedPageBreak/>
        <w:t xml:space="preserve">increasing waste diversion. Task 3 is a high level, long-term </w:t>
      </w:r>
      <w:r w:rsidR="00DE6A19">
        <w:t>(</w:t>
      </w:r>
      <w:r w:rsidRPr="00530CF3">
        <w:t>10-year</w:t>
      </w:r>
      <w:r w:rsidR="00DE6A19">
        <w:t>)</w:t>
      </w:r>
      <w:r w:rsidRPr="00530CF3">
        <w:t xml:space="preserve"> plan for resource recovery and disposal options. This document serves as the deliverable for </w:t>
      </w:r>
      <w:r w:rsidR="001C4E7B">
        <w:t>T</w:t>
      </w:r>
      <w:r w:rsidRPr="00530CF3">
        <w:t>ask 1.</w:t>
      </w:r>
    </w:p>
    <w:p w14:paraId="570D62CC" w14:textId="77777777" w:rsidR="00D32613" w:rsidRDefault="00D32613" w:rsidP="009E4050">
      <w:pPr>
        <w:pStyle w:val="Heading1"/>
      </w:pPr>
    </w:p>
    <w:p w14:paraId="0E811551" w14:textId="6F125AA9" w:rsidR="00475E15" w:rsidRPr="00863A39" w:rsidRDefault="00A61ABE" w:rsidP="009E4050">
      <w:pPr>
        <w:pStyle w:val="Heading1"/>
      </w:pPr>
      <w:bookmarkStart w:id="18" w:name="_Toc117001041"/>
      <w:r>
        <w:t>Capitol Region Council of Govern</w:t>
      </w:r>
      <w:r w:rsidR="00867C6C">
        <w:t>ments</w:t>
      </w:r>
      <w:r w:rsidR="00863A39">
        <w:t xml:space="preserve"> </w:t>
      </w:r>
      <w:r w:rsidR="000F2491">
        <w:t>Overview</w:t>
      </w:r>
      <w:bookmarkEnd w:id="18"/>
    </w:p>
    <w:p w14:paraId="00578DA0" w14:textId="7568290C" w:rsidR="00475E15" w:rsidRDefault="00475E15" w:rsidP="00530CF3">
      <w:r>
        <w:t>The largest of Connecticut’s nine regional planning organizations, the Capitol Region Council of Go</w:t>
      </w:r>
      <w:r w:rsidR="00A45CB4">
        <w:t>vernments</w:t>
      </w:r>
      <w:r w:rsidR="007F797F">
        <w:t xml:space="preserve"> (CRCOG)</w:t>
      </w:r>
      <w:r w:rsidR="00A45CB4">
        <w:t xml:space="preserve"> is a voluntary</w:t>
      </w:r>
      <w:r w:rsidR="00E250C5">
        <w:t xml:space="preserve"> </w:t>
      </w:r>
      <w:r w:rsidR="00E250C5">
        <w:rPr>
          <w:rFonts w:ascii="Lato" w:hAnsi="Lato"/>
          <w:color w:val="333333"/>
          <w:sz w:val="21"/>
          <w:szCs w:val="21"/>
          <w:shd w:val="clear" w:color="auto" w:fill="FFFFFF"/>
        </w:rPr>
        <w:t>Council of Governments formed to initiate and implement regional programs</w:t>
      </w:r>
      <w:r w:rsidR="00CC7BA2">
        <w:rPr>
          <w:rStyle w:val="FootnoteReference"/>
          <w:rFonts w:ascii="Lato" w:hAnsi="Lato"/>
          <w:color w:val="333333"/>
          <w:sz w:val="21"/>
          <w:szCs w:val="21"/>
          <w:shd w:val="clear" w:color="auto" w:fill="FFFFFF"/>
        </w:rPr>
        <w:footnoteReference w:id="8"/>
      </w:r>
      <w:r w:rsidR="00E250C5">
        <w:rPr>
          <w:rFonts w:ascii="Lato" w:hAnsi="Lato"/>
          <w:color w:val="333333"/>
          <w:sz w:val="21"/>
          <w:szCs w:val="21"/>
          <w:shd w:val="clear" w:color="auto" w:fill="FFFFFF"/>
        </w:rPr>
        <w:t xml:space="preserve"> </w:t>
      </w:r>
      <w:r w:rsidR="001868B4">
        <w:rPr>
          <w:rFonts w:ascii="Lato" w:hAnsi="Lato"/>
          <w:color w:val="333333"/>
          <w:sz w:val="21"/>
          <w:szCs w:val="21"/>
          <w:shd w:val="clear" w:color="auto" w:fill="FFFFFF"/>
        </w:rPr>
        <w:t>to</w:t>
      </w:r>
      <w:r w:rsidR="00CC7BA2">
        <w:rPr>
          <w:rFonts w:ascii="Lato" w:hAnsi="Lato"/>
          <w:color w:val="333333"/>
          <w:sz w:val="21"/>
          <w:szCs w:val="21"/>
          <w:shd w:val="clear" w:color="auto" w:fill="FFFFFF"/>
        </w:rPr>
        <w:t xml:space="preserve"> service</w:t>
      </w:r>
      <w:r w:rsidR="001868B4">
        <w:rPr>
          <w:rFonts w:ascii="Lato" w:hAnsi="Lato"/>
          <w:color w:val="333333"/>
          <w:sz w:val="21"/>
          <w:szCs w:val="21"/>
          <w:shd w:val="clear" w:color="auto" w:fill="FFFFFF"/>
        </w:rPr>
        <w:t xml:space="preserve"> </w:t>
      </w:r>
      <w:r w:rsidR="00A45CB4">
        <w:t>Hartford and 37 surrounding communities</w:t>
      </w:r>
      <w:r w:rsidR="00CC7BA2">
        <w:t xml:space="preserve">. </w:t>
      </w:r>
      <w:r w:rsidR="00723FB5">
        <w:t xml:space="preserve">CRCOG represents </w:t>
      </w:r>
      <w:r w:rsidR="00AC210F">
        <w:t>approximately</w:t>
      </w:r>
      <w:r w:rsidR="00723FB5">
        <w:t xml:space="preserve"> on</w:t>
      </w:r>
      <w:r w:rsidR="00A73289">
        <w:t>e</w:t>
      </w:r>
      <w:r w:rsidR="00723FB5">
        <w:t xml:space="preserve"> million residents over a 1,0</w:t>
      </w:r>
      <w:r w:rsidR="00D84BA0">
        <w:t>47 square foot area</w:t>
      </w:r>
      <w:r w:rsidR="00A73289">
        <w:t xml:space="preserve"> that includes communities from both Hartford and Tolland </w:t>
      </w:r>
      <w:r w:rsidR="003246A8">
        <w:t>counties.</w:t>
      </w:r>
      <w:r w:rsidR="00D84BA0">
        <w:t xml:space="preserve"> </w:t>
      </w:r>
    </w:p>
    <w:p w14:paraId="6C577243" w14:textId="2F5F6790" w:rsidR="000F2491" w:rsidRDefault="00F9715E" w:rsidP="00766A15">
      <w:pPr>
        <w:pStyle w:val="Subtitle"/>
      </w:pPr>
      <w:r>
        <w:br/>
      </w:r>
      <w:bookmarkStart w:id="19" w:name="_Toc117000319"/>
      <w:bookmarkStart w:id="20" w:name="_Toc117001042"/>
      <w:r w:rsidR="00766A15">
        <w:t>Demographics</w:t>
      </w:r>
      <w:bookmarkEnd w:id="19"/>
      <w:bookmarkEnd w:id="20"/>
    </w:p>
    <w:p w14:paraId="71C771C4" w14:textId="489C4BF0" w:rsidR="000F2491" w:rsidRDefault="00E34B0B" w:rsidP="00530CF3">
      <w:r>
        <w:t xml:space="preserve">Combined, </w:t>
      </w:r>
      <w:r w:rsidR="002A617C">
        <w:t xml:space="preserve">CRCOG communities have an </w:t>
      </w:r>
      <w:r w:rsidR="000F2491">
        <w:t xml:space="preserve">estimated </w:t>
      </w:r>
      <w:r w:rsidR="000F2491" w:rsidRPr="00E32DC9">
        <w:t>popu</w:t>
      </w:r>
      <w:r w:rsidR="000F2491">
        <w:t xml:space="preserve">lation of </w:t>
      </w:r>
      <w:r w:rsidR="007D0D45">
        <w:t>971,871</w:t>
      </w:r>
      <w:r>
        <w:t xml:space="preserve"> or 381,183 households</w:t>
      </w:r>
      <w:r w:rsidR="00950BF0">
        <w:t xml:space="preserve"> (2019 data)</w:t>
      </w:r>
      <w:r w:rsidR="000F2491">
        <w:t xml:space="preserve">. </w:t>
      </w:r>
      <w:r w:rsidR="00B8468B">
        <w:t>T</w:t>
      </w:r>
      <w:r w:rsidR="00D02681">
        <w:t xml:space="preserve">he population is </w:t>
      </w:r>
      <w:r w:rsidR="0035466F">
        <w:t>estimated to reach 1,073,000 by 2050</w:t>
      </w:r>
      <w:r w:rsidR="00B8468B">
        <w:t xml:space="preserve"> based on growth projections</w:t>
      </w:r>
      <w:r w:rsidR="006F4E70">
        <w:t xml:space="preserve"> provided by CRCOG</w:t>
      </w:r>
      <w:r w:rsidR="0035466F">
        <w:t xml:space="preserve">. </w:t>
      </w:r>
      <w:r w:rsidR="00E32DC9">
        <w:t>Population densit</w:t>
      </w:r>
      <w:r w:rsidR="004201B8">
        <w:t>ies are 1,22</w:t>
      </w:r>
      <w:r w:rsidR="00A9214D">
        <w:t>4</w:t>
      </w:r>
      <w:r w:rsidR="004201B8">
        <w:t xml:space="preserve"> and</w:t>
      </w:r>
      <w:r w:rsidR="00A9214D">
        <w:t xml:space="preserve"> </w:t>
      </w:r>
      <w:r w:rsidR="00AC4870">
        <w:t xml:space="preserve">365 per square mile in Hartford County and Tolland </w:t>
      </w:r>
      <w:r w:rsidR="00CB300B">
        <w:t>County,</w:t>
      </w:r>
      <w:r w:rsidR="00AC4870">
        <w:t xml:space="preserve"> respectively. </w:t>
      </w:r>
      <w:r w:rsidR="00743F72">
        <w:t>Hartford</w:t>
      </w:r>
      <w:r w:rsidR="008712A4">
        <w:t>, which is a part of Hartford County,</w:t>
      </w:r>
      <w:r w:rsidR="00743F72">
        <w:t xml:space="preserve"> </w:t>
      </w:r>
      <w:r w:rsidR="00B544C6">
        <w:t>represents</w:t>
      </w:r>
      <w:r w:rsidR="00574958">
        <w:t xml:space="preserve"> 13% of the</w:t>
      </w:r>
      <w:r w:rsidR="00B544C6">
        <w:t xml:space="preserve"> population of CRCOG with a population density of </w:t>
      </w:r>
      <w:r w:rsidR="00384AD8">
        <w:t>6,966 residents per square mile</w:t>
      </w:r>
      <w:r w:rsidR="00DF391D">
        <w:t>, significantly higher than the surrounding region</w:t>
      </w:r>
      <w:r w:rsidR="00CB300B">
        <w:t xml:space="preserve">. </w:t>
      </w:r>
    </w:p>
    <w:p w14:paraId="313B5FBB" w14:textId="2D6C656E" w:rsidR="000F2491" w:rsidRDefault="000F2491" w:rsidP="00530CF3"/>
    <w:p w14:paraId="0F922FB4" w14:textId="3BEF6850" w:rsidR="003E373B" w:rsidRDefault="00484242" w:rsidP="00530CF3">
      <w:r>
        <w:t>Of the total housing unit</w:t>
      </w:r>
      <w:r w:rsidR="00FE5F44">
        <w:t xml:space="preserve">s </w:t>
      </w:r>
      <w:r>
        <w:t xml:space="preserve">in </w:t>
      </w:r>
      <w:r w:rsidR="00941005">
        <w:t xml:space="preserve">the counties of </w:t>
      </w:r>
      <w:r w:rsidR="00463B67">
        <w:t xml:space="preserve">Hartford and Tolland, </w:t>
      </w:r>
      <w:r w:rsidR="00783C56">
        <w:t>62</w:t>
      </w:r>
      <w:r w:rsidR="0091303B">
        <w:t>% are single family homes</w:t>
      </w:r>
      <w:r w:rsidR="00812A85">
        <w:t xml:space="preserve"> and 37% are multifamily.</w:t>
      </w:r>
      <w:r w:rsidR="00CD5985">
        <w:t xml:space="preserve"> In Hartford</w:t>
      </w:r>
      <w:r w:rsidR="00DD45BA">
        <w:t>, only 15% of residents live in single family homes.</w:t>
      </w:r>
    </w:p>
    <w:p w14:paraId="0C9930BC" w14:textId="0CCD8BE7" w:rsidR="00342127" w:rsidRDefault="00342127" w:rsidP="00530CF3">
      <w:pPr>
        <w:pStyle w:val="Caption"/>
      </w:pPr>
    </w:p>
    <w:p w14:paraId="2133BDD5" w14:textId="3C818B2D" w:rsidR="00342127" w:rsidRDefault="003E373B" w:rsidP="00530CF3">
      <w:pPr>
        <w:pStyle w:val="Caption"/>
      </w:pPr>
      <w:bookmarkStart w:id="21" w:name="_Toc116999575"/>
      <w:bookmarkStart w:id="22" w:name="_Toc116992583"/>
      <w:r>
        <w:t xml:space="preserve">Figure </w:t>
      </w:r>
      <w:r w:rsidR="00E9026D">
        <w:fldChar w:fldCharType="begin"/>
      </w:r>
      <w:r w:rsidR="00E9026D">
        <w:instrText xml:space="preserve"> SEQ Figure \* ARABIC </w:instrText>
      </w:r>
      <w:r w:rsidR="00E9026D">
        <w:fldChar w:fldCharType="separate"/>
      </w:r>
      <w:r w:rsidR="00466B00">
        <w:rPr>
          <w:noProof/>
        </w:rPr>
        <w:t>1</w:t>
      </w:r>
      <w:r w:rsidR="00E9026D">
        <w:rPr>
          <w:noProof/>
        </w:rPr>
        <w:fldChar w:fldCharType="end"/>
      </w:r>
      <w:r>
        <w:t xml:space="preserve"> Hartford and Tolland </w:t>
      </w:r>
      <w:r w:rsidR="006F1B22">
        <w:t xml:space="preserve">Counties </w:t>
      </w:r>
      <w:r>
        <w:t>Housing Structures by Number of Units</w:t>
      </w:r>
      <w:bookmarkEnd w:id="21"/>
      <w:bookmarkEnd w:id="22"/>
    </w:p>
    <w:p w14:paraId="57383677" w14:textId="0AE7EC2A" w:rsidR="000F2491" w:rsidRDefault="00342127" w:rsidP="00530CF3">
      <w:r>
        <w:rPr>
          <w:noProof/>
        </w:rPr>
        <w:drawing>
          <wp:inline distT="0" distB="0" distL="0" distR="0" wp14:anchorId="4292C29A" wp14:editId="7357B550">
            <wp:extent cx="6557010" cy="2410460"/>
            <wp:effectExtent l="0" t="0" r="0" b="2540"/>
            <wp:docPr id="1361581775" name="Chart 1361581775">
              <a:extLst xmlns:a="http://schemas.openxmlformats.org/drawingml/2006/main">
                <a:ext uri="{FF2B5EF4-FFF2-40B4-BE49-F238E27FC236}">
                  <a16:creationId xmlns:a16="http://schemas.microsoft.com/office/drawing/2014/main" id="{908209BE-F58C-3F23-019E-3F78822BB6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3616852" w14:textId="77777777" w:rsidR="00965F90" w:rsidRDefault="00965F90" w:rsidP="00530CF3"/>
    <w:p w14:paraId="17177889" w14:textId="21AF9353" w:rsidR="00965F90" w:rsidRDefault="00965F90" w:rsidP="00530CF3">
      <w:r>
        <w:t xml:space="preserve">Average annual employment for CRCOG </w:t>
      </w:r>
      <w:r w:rsidR="00872C2B">
        <w:t>in 2019 was 467,518</w:t>
      </w:r>
      <w:r w:rsidR="00FA2683">
        <w:t xml:space="preserve"> and is projected to grow by 4.9% between 2019</w:t>
      </w:r>
      <w:r w:rsidR="00587A5D">
        <w:t xml:space="preserve"> and 2028 assuming </w:t>
      </w:r>
      <w:r w:rsidR="00491598">
        <w:t xml:space="preserve">that </w:t>
      </w:r>
      <w:r w:rsidR="00587A5D">
        <w:t xml:space="preserve">growth parallels </w:t>
      </w:r>
      <w:r w:rsidR="00491598">
        <w:t xml:space="preserve">the </w:t>
      </w:r>
      <w:r w:rsidR="00587A5D">
        <w:t xml:space="preserve">projected state employment growth. </w:t>
      </w:r>
      <w:r w:rsidR="006C7A80">
        <w:t xml:space="preserve">Sectors with </w:t>
      </w:r>
      <w:r w:rsidR="006C7A80">
        <w:lastRenderedPageBreak/>
        <w:t xml:space="preserve">greatest employment in Tolland County include government </w:t>
      </w:r>
      <w:r w:rsidR="002E2DAE">
        <w:t>(</w:t>
      </w:r>
      <w:r w:rsidR="00454698">
        <w:t>33%</w:t>
      </w:r>
      <w:r w:rsidR="002E2DAE">
        <w:t>), retail (16%), and manufacturing (7%)</w:t>
      </w:r>
      <w:r w:rsidR="005067A6">
        <w:t xml:space="preserve">. In Hartford County, sectors with the largest employment include </w:t>
      </w:r>
      <w:r w:rsidR="00D26950">
        <w:t xml:space="preserve">health care (16%), government (13%), </w:t>
      </w:r>
      <w:r w:rsidR="00BB5A45">
        <w:t xml:space="preserve">manufacturing (11%), </w:t>
      </w:r>
      <w:r w:rsidR="00D26950">
        <w:t>finance</w:t>
      </w:r>
      <w:r w:rsidR="00DF2008">
        <w:t xml:space="preserve"> (10%)</w:t>
      </w:r>
      <w:r w:rsidR="00D26950">
        <w:t>, and retail</w:t>
      </w:r>
      <w:r w:rsidR="00DF2008">
        <w:t xml:space="preserve"> (9%)</w:t>
      </w:r>
      <w:r w:rsidR="006F72BE">
        <w:t>.</w:t>
      </w:r>
      <w:r w:rsidR="00F129E3">
        <w:rPr>
          <w:rStyle w:val="FootnoteReference"/>
        </w:rPr>
        <w:footnoteReference w:id="9"/>
      </w:r>
      <w:r w:rsidR="006F72BE">
        <w:t xml:space="preserve"> </w:t>
      </w:r>
    </w:p>
    <w:p w14:paraId="3D07EF2C" w14:textId="77777777" w:rsidR="00424F54" w:rsidRDefault="00424F54" w:rsidP="00530CF3"/>
    <w:p w14:paraId="59969AA0" w14:textId="1287CCB4" w:rsidR="0038253C" w:rsidRDefault="0038253C" w:rsidP="0038253C">
      <w:pPr>
        <w:pStyle w:val="Caption"/>
        <w:keepNext/>
      </w:pPr>
      <w:bookmarkStart w:id="23" w:name="_Toc116999576"/>
      <w:bookmarkStart w:id="24" w:name="_Toc116992584"/>
      <w:r>
        <w:t xml:space="preserve">Figure </w:t>
      </w:r>
      <w:r w:rsidR="00E9026D">
        <w:fldChar w:fldCharType="begin"/>
      </w:r>
      <w:r w:rsidR="00E9026D">
        <w:instrText xml:space="preserve"> SEQ Figure \* ARABIC </w:instrText>
      </w:r>
      <w:r w:rsidR="00E9026D">
        <w:fldChar w:fldCharType="separate"/>
      </w:r>
      <w:r w:rsidR="00466B00">
        <w:rPr>
          <w:noProof/>
        </w:rPr>
        <w:t>2</w:t>
      </w:r>
      <w:r w:rsidR="00E9026D">
        <w:rPr>
          <w:noProof/>
        </w:rPr>
        <w:fldChar w:fldCharType="end"/>
      </w:r>
      <w:r>
        <w:t xml:space="preserve"> Employment Sectors in Tolland County</w:t>
      </w:r>
      <w:bookmarkEnd w:id="23"/>
      <w:bookmarkEnd w:id="24"/>
    </w:p>
    <w:p w14:paraId="6A5CF395" w14:textId="0AF98E72" w:rsidR="00424F54" w:rsidRDefault="00424F54" w:rsidP="00530CF3">
      <w:r>
        <w:rPr>
          <w:noProof/>
        </w:rPr>
        <w:drawing>
          <wp:inline distT="0" distB="0" distL="0" distR="0" wp14:anchorId="22DA73CC" wp14:editId="0261B962">
            <wp:extent cx="6162261" cy="2267712"/>
            <wp:effectExtent l="0" t="0" r="0" b="0"/>
            <wp:docPr id="8" name="Char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ADF0BCE" w14:textId="77777777" w:rsidR="00C943C1" w:rsidRDefault="00C943C1" w:rsidP="00530CF3"/>
    <w:p w14:paraId="0A851A7E" w14:textId="268C3D24" w:rsidR="00EB66A9" w:rsidRDefault="00EB66A9" w:rsidP="00530CF3"/>
    <w:p w14:paraId="15FAEAC3" w14:textId="0005CF92" w:rsidR="00DF691A" w:rsidRDefault="00DF691A" w:rsidP="00DF691A">
      <w:pPr>
        <w:pStyle w:val="Caption"/>
        <w:keepNext/>
      </w:pPr>
      <w:bookmarkStart w:id="25" w:name="_Toc116999577"/>
      <w:bookmarkStart w:id="26" w:name="_Toc116992585"/>
      <w:r>
        <w:t xml:space="preserve">Figure </w:t>
      </w:r>
      <w:r w:rsidR="00E9026D">
        <w:fldChar w:fldCharType="begin"/>
      </w:r>
      <w:r w:rsidR="00E9026D">
        <w:instrText xml:space="preserve"> SEQ Figure \* ARABIC </w:instrText>
      </w:r>
      <w:r w:rsidR="00E9026D">
        <w:fldChar w:fldCharType="separate"/>
      </w:r>
      <w:r w:rsidR="00466B00">
        <w:rPr>
          <w:noProof/>
        </w:rPr>
        <w:t>3</w:t>
      </w:r>
      <w:r w:rsidR="00E9026D">
        <w:rPr>
          <w:noProof/>
        </w:rPr>
        <w:fldChar w:fldCharType="end"/>
      </w:r>
      <w:r>
        <w:t xml:space="preserve"> Employment Sectors in Hartford County</w:t>
      </w:r>
      <w:bookmarkEnd w:id="25"/>
      <w:bookmarkEnd w:id="26"/>
    </w:p>
    <w:p w14:paraId="484697E6" w14:textId="45C457C2" w:rsidR="00863A39" w:rsidRDefault="00DF691A" w:rsidP="00530CF3">
      <w:r>
        <w:rPr>
          <w:noProof/>
        </w:rPr>
        <w:drawing>
          <wp:inline distT="0" distB="0" distL="0" distR="0" wp14:anchorId="186792EF" wp14:editId="73D4086F">
            <wp:extent cx="6414587" cy="2267712"/>
            <wp:effectExtent l="0" t="0" r="5715" b="0"/>
            <wp:docPr id="14" name="Char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1C957FA" w14:textId="77777777" w:rsidR="00DF691A" w:rsidRDefault="00DF691A" w:rsidP="006845CF">
      <w:pPr>
        <w:pStyle w:val="Subtitle"/>
      </w:pPr>
    </w:p>
    <w:p w14:paraId="0BA3DBC1" w14:textId="49F387F0" w:rsidR="00027313" w:rsidRDefault="008B2CFF" w:rsidP="006845CF">
      <w:pPr>
        <w:pStyle w:val="Subtitle"/>
      </w:pPr>
      <w:bookmarkStart w:id="27" w:name="_Toc117000320"/>
      <w:bookmarkStart w:id="28" w:name="_Toc117001043"/>
      <w:r>
        <w:t xml:space="preserve">Solid Waste Program </w:t>
      </w:r>
      <w:r w:rsidR="00F431B0">
        <w:t>Management and Funding</w:t>
      </w:r>
      <w:bookmarkEnd w:id="27"/>
      <w:bookmarkEnd w:id="28"/>
    </w:p>
    <w:p w14:paraId="354D36FD" w14:textId="4C3DEFAD" w:rsidR="008B2CFF" w:rsidRDefault="003509DD" w:rsidP="00530CF3">
      <w:r>
        <w:t>A survey was conducted</w:t>
      </w:r>
      <w:r w:rsidR="000A6DAC">
        <w:t xml:space="preserve"> by RRS</w:t>
      </w:r>
      <w:r>
        <w:t xml:space="preserve"> to gain an understanding of the waste collection services provided by each </w:t>
      </w:r>
      <w:r w:rsidR="00272B48">
        <w:t>jurisdiction</w:t>
      </w:r>
      <w:r>
        <w:t xml:space="preserve">, including how they are managed and funded. </w:t>
      </w:r>
      <w:r w:rsidR="00C95FD1">
        <w:t>Full data tables are included as an accompanying spreadsheet to this report</w:t>
      </w:r>
      <w:r w:rsidR="00220784">
        <w:t xml:space="preserve">, </w:t>
      </w:r>
      <w:r w:rsidR="00C95FD1">
        <w:t>and more detail on the specific service</w:t>
      </w:r>
      <w:r w:rsidR="00F431B0">
        <w:t xml:space="preserve">s provided are summarized in the </w:t>
      </w:r>
      <w:r w:rsidR="00F52100">
        <w:t>system assessment</w:t>
      </w:r>
      <w:r w:rsidR="00F431B0">
        <w:t xml:space="preserve"> section of th</w:t>
      </w:r>
      <w:r w:rsidR="005C537F">
        <w:t xml:space="preserve">is </w:t>
      </w:r>
      <w:r w:rsidR="00F431B0">
        <w:t xml:space="preserve">report. </w:t>
      </w:r>
    </w:p>
    <w:p w14:paraId="0B813AE5" w14:textId="2A04D856" w:rsidR="009B1DEE" w:rsidRDefault="009B1DEE" w:rsidP="00530CF3"/>
    <w:p w14:paraId="0CA24C35" w14:textId="5E3345DF" w:rsidR="00272B48" w:rsidRDefault="001F2934" w:rsidP="00530CF3">
      <w:r>
        <w:t xml:space="preserve">Enfield, Hartford, and </w:t>
      </w:r>
      <w:r w:rsidR="00272B48">
        <w:t xml:space="preserve">Vernon </w:t>
      </w:r>
      <w:r w:rsidR="001456DE">
        <w:t>perform the collection of trash and recyclables with its own staff</w:t>
      </w:r>
      <w:r w:rsidR="00985399">
        <w:t>. Windsor utilizes subscription services for trash and a city contract hauler for recycling</w:t>
      </w:r>
      <w:r w:rsidR="007B02CC">
        <w:t>.</w:t>
      </w:r>
      <w:r w:rsidR="001456DE">
        <w:t xml:space="preserve"> </w:t>
      </w:r>
      <w:r w:rsidR="007B02CC">
        <w:t>Six</w:t>
      </w:r>
      <w:r w:rsidR="00B957D0">
        <w:t xml:space="preserve"> communit</w:t>
      </w:r>
      <w:r w:rsidR="00132F4F">
        <w:t xml:space="preserve">ies </w:t>
      </w:r>
      <w:r w:rsidR="007B02CC">
        <w:t>utilize subscription services for trash and recycling. 22 communities utilize a city contracted hauler for both trash and recycling.</w:t>
      </w:r>
    </w:p>
    <w:p w14:paraId="3A176A0A" w14:textId="77777777" w:rsidR="00374F57" w:rsidRDefault="00374F57" w:rsidP="00530CF3"/>
    <w:p w14:paraId="4F23C48A" w14:textId="4F815273" w:rsidR="00F76905" w:rsidRDefault="00F76905" w:rsidP="00530CF3">
      <w:pPr>
        <w:pStyle w:val="Caption"/>
      </w:pPr>
      <w:bookmarkStart w:id="29" w:name="_Toc116999578"/>
      <w:bookmarkStart w:id="30" w:name="_Toc116992586"/>
      <w:r>
        <w:t xml:space="preserve">Figure </w:t>
      </w:r>
      <w:r w:rsidR="00E9026D">
        <w:fldChar w:fldCharType="begin"/>
      </w:r>
      <w:r w:rsidR="00E9026D">
        <w:instrText xml:space="preserve"> SEQ Figure \* ARABIC </w:instrText>
      </w:r>
      <w:r w:rsidR="00E9026D">
        <w:fldChar w:fldCharType="separate"/>
      </w:r>
      <w:r w:rsidR="00466B00">
        <w:rPr>
          <w:noProof/>
        </w:rPr>
        <w:t>4</w:t>
      </w:r>
      <w:r w:rsidR="00E9026D">
        <w:rPr>
          <w:noProof/>
        </w:rPr>
        <w:fldChar w:fldCharType="end"/>
      </w:r>
      <w:r>
        <w:t xml:space="preserve"> CRCOG Community Trash </w:t>
      </w:r>
      <w:r w:rsidR="007B02CC">
        <w:t>and</w:t>
      </w:r>
      <w:r w:rsidR="006A2539">
        <w:t xml:space="preserve"> Recycling</w:t>
      </w:r>
      <w:r w:rsidR="007B02CC">
        <w:t xml:space="preserve"> </w:t>
      </w:r>
      <w:r>
        <w:t>Collection Service Provide</w:t>
      </w:r>
      <w:r w:rsidR="00F90724">
        <w:t>rs</w:t>
      </w:r>
      <w:r w:rsidR="00C75A42">
        <w:rPr>
          <w:rStyle w:val="FootnoteReference"/>
        </w:rPr>
        <w:footnoteReference w:id="10"/>
      </w:r>
      <w:bookmarkEnd w:id="29"/>
      <w:bookmarkEnd w:id="30"/>
    </w:p>
    <w:p w14:paraId="35B0B1B1" w14:textId="0C99281C" w:rsidR="00374F57" w:rsidRPr="00272B48" w:rsidRDefault="00C449CE" w:rsidP="00530CF3">
      <w:r>
        <w:rPr>
          <w:noProof/>
        </w:rPr>
        <w:drawing>
          <wp:inline distT="0" distB="0" distL="0" distR="0" wp14:anchorId="1EBA5342" wp14:editId="513896BF">
            <wp:extent cx="6591300" cy="2743200"/>
            <wp:effectExtent l="0" t="0" r="0" b="0"/>
            <wp:docPr id="13" name="Chart 13">
              <a:extLst xmlns:a="http://schemas.openxmlformats.org/drawingml/2006/main">
                <a:ext uri="{FF2B5EF4-FFF2-40B4-BE49-F238E27FC236}">
                  <a16:creationId xmlns:a16="http://schemas.microsoft.com/office/drawing/2014/main" id="{CD320BDA-BE51-EB5E-337F-AC5BC47A5F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5AEB19F" w14:textId="77777777" w:rsidR="009B1DEE" w:rsidRDefault="009B1DEE" w:rsidP="006845CF">
      <w:pPr>
        <w:pStyle w:val="Subtitle2"/>
      </w:pPr>
    </w:p>
    <w:p w14:paraId="30A75505" w14:textId="31A548B6" w:rsidR="001E5809" w:rsidRDefault="00D66EBA" w:rsidP="006845CF">
      <w:pPr>
        <w:pStyle w:val="Subtitle2"/>
      </w:pPr>
      <w:r>
        <w:t>Mid-Northeast Recycling Operating Committee</w:t>
      </w:r>
      <w:r w:rsidR="00CA2B9E">
        <w:t xml:space="preserve"> (NeROC)</w:t>
      </w:r>
      <w:r>
        <w:t xml:space="preserve"> Intercommunity Agreement</w:t>
      </w:r>
    </w:p>
    <w:p w14:paraId="63D56F60" w14:textId="0EAF04C2" w:rsidR="00D66EBA" w:rsidRDefault="001E5809" w:rsidP="00530CF3">
      <w:r>
        <w:t xml:space="preserve">Andover, </w:t>
      </w:r>
      <w:r w:rsidR="00D269FD">
        <w:t xml:space="preserve">Bolton, Columbia, Coventry, </w:t>
      </w:r>
      <w:r w:rsidR="00F16815">
        <w:t xml:space="preserve">Ellington, Mansfield, Tolland, </w:t>
      </w:r>
      <w:r w:rsidR="00DB0ED3">
        <w:t xml:space="preserve">and Willington are members of the Northeast Recycling Operating Committee along with </w:t>
      </w:r>
      <w:r w:rsidR="008D0F1C">
        <w:t xml:space="preserve">seven other jurisdictions that are not members of CRCOG. </w:t>
      </w:r>
      <w:r w:rsidR="00197AC3">
        <w:t xml:space="preserve">These communities jointly contract for the processing of recyclables and bulky waste. </w:t>
      </w:r>
      <w:r w:rsidR="003705E5">
        <w:t xml:space="preserve">The contract includes hauling of materials from local jurisdiction’s transfer stations. </w:t>
      </w:r>
    </w:p>
    <w:p w14:paraId="0DA04973" w14:textId="3734134E" w:rsidR="00027313" w:rsidRDefault="00D66EBA" w:rsidP="006845CF">
      <w:pPr>
        <w:pStyle w:val="Subtitle2"/>
      </w:pPr>
      <w:r>
        <w:t>Funding Mechanisms</w:t>
      </w:r>
    </w:p>
    <w:p w14:paraId="73385C20" w14:textId="4C9CE90F" w:rsidR="00027313" w:rsidRDefault="00F113DF" w:rsidP="00530CF3">
      <w:r>
        <w:t>CRCOG jurisdictions fund solid waste programs in myriad ways.</w:t>
      </w:r>
      <w:r w:rsidR="00BD46FB">
        <w:t xml:space="preserve"> </w:t>
      </w:r>
      <w:r w:rsidR="00BD46FB" w:rsidRPr="009B7A9B">
        <w:t xml:space="preserve">Figure </w:t>
      </w:r>
      <w:r w:rsidR="00CA413C">
        <w:t>5</w:t>
      </w:r>
      <w:r w:rsidR="00226540" w:rsidRPr="009B7A9B">
        <w:t xml:space="preserve"> </w:t>
      </w:r>
      <w:r w:rsidR="00BD46FB" w:rsidRPr="009B7A9B">
        <w:t>de</w:t>
      </w:r>
      <w:r w:rsidR="00BD46FB">
        <w:t xml:space="preserve">tails the </w:t>
      </w:r>
      <w:r w:rsidR="00BB1373">
        <w:t>number</w:t>
      </w:r>
      <w:r w:rsidR="00BD46FB">
        <w:t xml:space="preserve"> of CRCOG communities that utilize each funding type.</w:t>
      </w:r>
      <w:r w:rsidR="00BB1373">
        <w:rPr>
          <w:rStyle w:val="FootnoteReference"/>
        </w:rPr>
        <w:footnoteReference w:id="11"/>
      </w:r>
    </w:p>
    <w:p w14:paraId="234B83A1" w14:textId="77777777" w:rsidR="00BD46FB" w:rsidRDefault="00BD46FB" w:rsidP="00530CF3"/>
    <w:p w14:paraId="02024923" w14:textId="77777777" w:rsidR="00456423" w:rsidRDefault="00456423">
      <w:pPr>
        <w:spacing w:line="240" w:lineRule="auto"/>
        <w:jc w:val="left"/>
        <w:rPr>
          <w:i/>
          <w:iCs/>
          <w:color w:val="002A7B" w:themeColor="text2"/>
          <w:sz w:val="18"/>
        </w:rPr>
      </w:pPr>
      <w:r>
        <w:br w:type="page"/>
      </w:r>
    </w:p>
    <w:p w14:paraId="3FAB7888" w14:textId="1E07F64D" w:rsidR="00550678" w:rsidRDefault="00550678" w:rsidP="00530CF3">
      <w:pPr>
        <w:pStyle w:val="Caption"/>
      </w:pPr>
      <w:bookmarkStart w:id="31" w:name="_Toc116999579"/>
      <w:bookmarkStart w:id="32" w:name="_Toc116992587"/>
      <w:r>
        <w:t xml:space="preserve">Figure </w:t>
      </w:r>
      <w:r w:rsidR="00E9026D">
        <w:fldChar w:fldCharType="begin"/>
      </w:r>
      <w:r w:rsidR="00E9026D">
        <w:instrText xml:space="preserve"> SEQ Figure \* ARABIC </w:instrText>
      </w:r>
      <w:r w:rsidR="00E9026D">
        <w:fldChar w:fldCharType="separate"/>
      </w:r>
      <w:r w:rsidR="00466B00">
        <w:rPr>
          <w:noProof/>
        </w:rPr>
        <w:t>5</w:t>
      </w:r>
      <w:r w:rsidR="00E9026D">
        <w:rPr>
          <w:noProof/>
        </w:rPr>
        <w:fldChar w:fldCharType="end"/>
      </w:r>
      <w:r>
        <w:t xml:space="preserve"> Solid Waste Funding Types Used by CRCOG Communities</w:t>
      </w:r>
      <w:bookmarkEnd w:id="31"/>
      <w:bookmarkEnd w:id="32"/>
    </w:p>
    <w:p w14:paraId="363E7EB4" w14:textId="0260C9D9" w:rsidR="00286389" w:rsidRDefault="00550678" w:rsidP="00530CF3">
      <w:r w:rsidRPr="00353A9F">
        <w:rPr>
          <w:noProof/>
          <w:shd w:val="clear" w:color="auto" w:fill="002A7B" w:themeFill="text2"/>
        </w:rPr>
        <w:drawing>
          <wp:inline distT="0" distB="0" distL="0" distR="0" wp14:anchorId="74620BAE" wp14:editId="2C8D8C21">
            <wp:extent cx="6557010" cy="2837329"/>
            <wp:effectExtent l="0" t="0" r="0" b="1270"/>
            <wp:docPr id="2" name="Chart 2">
              <a:extLst xmlns:a="http://schemas.openxmlformats.org/drawingml/2006/main">
                <a:ext uri="{FF2B5EF4-FFF2-40B4-BE49-F238E27FC236}">
                  <a16:creationId xmlns:a16="http://schemas.microsoft.com/office/drawing/2014/main" id="{326CBD1E-9466-A7BC-F85D-21084596CE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bookmarkStart w:id="33" w:name="_Toc40453255"/>
    </w:p>
    <w:p w14:paraId="2A0C915E" w14:textId="77777777" w:rsidR="00276B30" w:rsidRDefault="00276B30" w:rsidP="006845CF">
      <w:pPr>
        <w:pStyle w:val="Subtitle2"/>
      </w:pPr>
    </w:p>
    <w:p w14:paraId="3D2C888F" w14:textId="73B2B667" w:rsidR="00286389" w:rsidRDefault="00286389" w:rsidP="006845CF">
      <w:pPr>
        <w:pStyle w:val="Subtitle2"/>
      </w:pPr>
      <w:r>
        <w:t>Cost per household</w:t>
      </w:r>
    </w:p>
    <w:p w14:paraId="205342E3" w14:textId="49BBF3B5" w:rsidR="00286389" w:rsidRDefault="008C4EC2" w:rsidP="00530CF3">
      <w:r>
        <w:t xml:space="preserve">The median cost per household </w:t>
      </w:r>
      <w:r w:rsidR="007A00FD">
        <w:t xml:space="preserve">for bundled trash and recycling collection and disposal services in 2021 was </w:t>
      </w:r>
      <w:r w:rsidR="007D05EB">
        <w:t>$200 per year. This is based on responses from eighteen</w:t>
      </w:r>
      <w:r w:rsidR="00BE1A21">
        <w:t xml:space="preserve"> (18)</w:t>
      </w:r>
      <w:r w:rsidR="007D05EB">
        <w:t xml:space="preserve"> CRCOG communities and does not include communities with </w:t>
      </w:r>
      <w:r w:rsidR="00024428">
        <w:t>unit-based</w:t>
      </w:r>
      <w:r w:rsidR="007D05EB">
        <w:t xml:space="preserve"> pricing programs. </w:t>
      </w:r>
    </w:p>
    <w:p w14:paraId="481DC989" w14:textId="77777777" w:rsidR="00530CF3" w:rsidRDefault="00530CF3">
      <w:pPr>
        <w:spacing w:line="240" w:lineRule="auto"/>
        <w:jc w:val="left"/>
        <w:rPr>
          <w:rFonts w:ascii="Georgia" w:hAnsi="Georgia" w:cs="Arial (Body CS)"/>
          <w:b/>
          <w:bCs/>
          <w:spacing w:val="4"/>
          <w:sz w:val="44"/>
          <w:szCs w:val="14"/>
        </w:rPr>
      </w:pPr>
      <w:r>
        <w:br w:type="page"/>
      </w:r>
    </w:p>
    <w:p w14:paraId="2D81D4AA" w14:textId="28B8799A" w:rsidR="0035317C" w:rsidRDefault="0035317C" w:rsidP="009E4050">
      <w:pPr>
        <w:pStyle w:val="Heading1"/>
      </w:pPr>
      <w:bookmarkStart w:id="34" w:name="_Toc117001044"/>
      <w:r>
        <w:t>Program Performance</w:t>
      </w:r>
      <w:bookmarkEnd w:id="34"/>
    </w:p>
    <w:p w14:paraId="3BB7BDF0" w14:textId="77777777" w:rsidR="00191890" w:rsidRDefault="00191890" w:rsidP="00191890">
      <w:pPr>
        <w:pStyle w:val="Subtitle"/>
      </w:pPr>
      <w:bookmarkStart w:id="35" w:name="_Toc117000322"/>
      <w:bookmarkStart w:id="36" w:name="_Toc117001045"/>
      <w:r>
        <w:t>Waste Diversion Rates</w:t>
      </w:r>
      <w:bookmarkEnd w:id="35"/>
      <w:bookmarkEnd w:id="36"/>
    </w:p>
    <w:p w14:paraId="12FE82F2" w14:textId="77777777" w:rsidR="00191890" w:rsidRDefault="00191890" w:rsidP="00191890">
      <w:r>
        <w:t>The state of Connecticut has set a goal to achieve 60% waste diversion from disposal by 2024, though currently it is not on track to meet this target. CRCOG’s waste diversion rate is estimated to be 23%, not including materials diverted through statewide container deposit and extended producer responsibility programs. CRCOG waste diversion performance is approximately 18% below the state waste diversion rate when calculated similarly.</w:t>
      </w:r>
    </w:p>
    <w:p w14:paraId="48F240D3" w14:textId="77777777" w:rsidR="00191890" w:rsidRDefault="00191890" w:rsidP="00191890"/>
    <w:p w14:paraId="10ADC05D" w14:textId="77777777" w:rsidR="00191890" w:rsidRDefault="00191890" w:rsidP="00191890">
      <w:r>
        <w:t xml:space="preserve">For comparison purposes, the 2016-2020 annual average for Hennepin County, MN has been included. Hennepin County, MN has ~1.4M residents and is comprised of 45 communities of various sizes. </w:t>
      </w:r>
      <w:r w:rsidRPr="002030AF">
        <w:t>The majority</w:t>
      </w:r>
      <w:r>
        <w:t xml:space="preserve"> </w:t>
      </w:r>
      <w:r w:rsidRPr="002030AF">
        <w:t>of this diversion comes from recycling with about 38% of the total materials generated being recycled, and 11% organics diversion.</w:t>
      </w:r>
      <w:r>
        <w:t xml:space="preserve"> Hennepin County currently is in the process of developing a zero waste plan. </w:t>
      </w:r>
    </w:p>
    <w:p w14:paraId="74B95DDD" w14:textId="77777777" w:rsidR="00191890" w:rsidRPr="00037F9E" w:rsidRDefault="00191890" w:rsidP="00191890"/>
    <w:p w14:paraId="4FD3B565" w14:textId="11E160E8" w:rsidR="00107316" w:rsidRDefault="00107316" w:rsidP="00107316">
      <w:pPr>
        <w:pStyle w:val="Caption"/>
        <w:keepNext/>
        <w:jc w:val="left"/>
      </w:pPr>
      <w:bookmarkStart w:id="37" w:name="_Toc116999580"/>
      <w:bookmarkStart w:id="38" w:name="_Toc116992588"/>
      <w:bookmarkStart w:id="39" w:name="_Toc114853556"/>
      <w:bookmarkStart w:id="40" w:name="_Toc114936518"/>
      <w:bookmarkStart w:id="41" w:name="_Toc115872583"/>
      <w:bookmarkStart w:id="42" w:name="_Toc116917687"/>
      <w:bookmarkStart w:id="43" w:name="_Toc116998678"/>
      <w:r>
        <w:t xml:space="preserve">Figure </w:t>
      </w:r>
      <w:r w:rsidR="00E9026D">
        <w:fldChar w:fldCharType="begin"/>
      </w:r>
      <w:r w:rsidR="00E9026D">
        <w:instrText xml:space="preserve"> SEQ Figure \* ARABIC </w:instrText>
      </w:r>
      <w:r w:rsidR="00E9026D">
        <w:fldChar w:fldCharType="separate"/>
      </w:r>
      <w:r w:rsidR="00466B00">
        <w:rPr>
          <w:noProof/>
        </w:rPr>
        <w:t>6</w:t>
      </w:r>
      <w:r w:rsidR="00E9026D">
        <w:rPr>
          <w:noProof/>
        </w:rPr>
        <w:fldChar w:fldCharType="end"/>
      </w:r>
      <w:r>
        <w:t xml:space="preserve"> CRCOG, CT, and Hennepin County Diversion Rates11</w:t>
      </w:r>
      <w:r>
        <w:rPr>
          <w:rStyle w:val="FootnoteReference"/>
        </w:rPr>
        <w:footnoteReference w:id="12"/>
      </w:r>
      <w:bookmarkEnd w:id="37"/>
      <w:bookmarkEnd w:id="38"/>
    </w:p>
    <w:p w14:paraId="33DB2B81" w14:textId="77777777" w:rsidR="00191890" w:rsidRPr="00AA4A07" w:rsidRDefault="00191890" w:rsidP="00191890">
      <w:pPr>
        <w:pStyle w:val="Heading1"/>
        <w:rPr>
          <w:sz w:val="24"/>
          <w:szCs w:val="24"/>
        </w:rPr>
      </w:pPr>
      <w:bookmarkStart w:id="44" w:name="_Toc117000323"/>
      <w:bookmarkStart w:id="45" w:name="_Toc117001046"/>
      <w:r w:rsidRPr="00944BFB">
        <w:rPr>
          <w:noProof/>
        </w:rPr>
        <w:drawing>
          <wp:inline distT="0" distB="0" distL="0" distR="0" wp14:anchorId="53CE8E9C" wp14:editId="6BC8393C">
            <wp:extent cx="6414247" cy="2529205"/>
            <wp:effectExtent l="0" t="0" r="5715" b="4445"/>
            <wp:docPr id="20" name="Chart 20">
              <a:extLst xmlns:a="http://schemas.openxmlformats.org/drawingml/2006/main">
                <a:ext uri="{FF2B5EF4-FFF2-40B4-BE49-F238E27FC236}">
                  <a16:creationId xmlns:a16="http://schemas.microsoft.com/office/drawing/2014/main" id="{184AAD06-AC90-1539-1ED4-730CAA8DA5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bookmarkEnd w:id="39"/>
      <w:bookmarkEnd w:id="40"/>
      <w:bookmarkEnd w:id="41"/>
      <w:bookmarkEnd w:id="42"/>
      <w:bookmarkEnd w:id="43"/>
      <w:bookmarkEnd w:id="44"/>
      <w:bookmarkEnd w:id="45"/>
    </w:p>
    <w:p w14:paraId="54EC7182" w14:textId="77777777" w:rsidR="00E27F52" w:rsidRDefault="00E27F52" w:rsidP="00E27F52"/>
    <w:p w14:paraId="3064ADC6" w14:textId="2063E8FE" w:rsidR="000F2491" w:rsidRDefault="00954B57" w:rsidP="00BD1184">
      <w:pPr>
        <w:pStyle w:val="Subtitle"/>
      </w:pPr>
      <w:bookmarkStart w:id="46" w:name="_Toc117000324"/>
      <w:bookmarkStart w:id="47" w:name="_Toc117001047"/>
      <w:r>
        <w:t xml:space="preserve">Waste </w:t>
      </w:r>
      <w:r w:rsidR="000F2491">
        <w:t>Generation</w:t>
      </w:r>
      <w:r w:rsidR="00E27F52">
        <w:t xml:space="preserve"> and Fate</w:t>
      </w:r>
      <w:bookmarkEnd w:id="46"/>
      <w:bookmarkEnd w:id="47"/>
    </w:p>
    <w:p w14:paraId="2DAB2E5C" w14:textId="7305D4D3" w:rsidR="00017E65" w:rsidRDefault="00A944D6" w:rsidP="00530CF3">
      <w:r>
        <w:t xml:space="preserve">Utilizing </w:t>
      </w:r>
      <w:r w:rsidR="006F3F68">
        <w:t xml:space="preserve">community </w:t>
      </w:r>
      <w:r>
        <w:t xml:space="preserve">data </w:t>
      </w:r>
      <w:r w:rsidR="009D2ECC">
        <w:t>provided by CT DEEP, CRCOG’s waste</w:t>
      </w:r>
      <w:r w:rsidR="000F2491">
        <w:t xml:space="preserve"> generation is estimated to be approximately </w:t>
      </w:r>
      <w:r w:rsidR="00116C78">
        <w:t>729</w:t>
      </w:r>
      <w:r w:rsidR="000F2491" w:rsidRPr="003C3777">
        <w:t>,</w:t>
      </w:r>
      <w:r w:rsidR="00116C78">
        <w:t>109</w:t>
      </w:r>
      <w:r w:rsidR="000F2491">
        <w:t xml:space="preserve"> tons of residential and commercial MSW annually.</w:t>
      </w:r>
      <w:r w:rsidR="00776743">
        <w:t xml:space="preserve"> </w:t>
      </w:r>
      <w:r w:rsidR="00BA5902">
        <w:t>The effective per capita was</w:t>
      </w:r>
      <w:r w:rsidR="00243969">
        <w:t>te</w:t>
      </w:r>
      <w:r w:rsidR="00BA5902">
        <w:t xml:space="preserve"> generation is 4.1 lbs. per day, compared to the national average of 4.9 lbs. per person per day.</w:t>
      </w:r>
      <w:r w:rsidR="00D354F2">
        <w:rPr>
          <w:rStyle w:val="FootnoteReference"/>
        </w:rPr>
        <w:footnoteReference w:id="13"/>
      </w:r>
      <w:r w:rsidR="00BA5902">
        <w:t xml:space="preserve"> </w:t>
      </w:r>
      <w:r w:rsidR="00017E65" w:rsidRPr="00017E65">
        <w:t>Waste generation includes material sent to recycling, composting, anaerobic digestion, waste to energy and landfill from both commercial and residential sectors</w:t>
      </w:r>
      <w:r w:rsidR="00BA5902">
        <w:t>.</w:t>
      </w:r>
    </w:p>
    <w:p w14:paraId="71B0066C" w14:textId="77777777" w:rsidR="00017E65" w:rsidRDefault="00017E65" w:rsidP="00530CF3"/>
    <w:p w14:paraId="216B4A77" w14:textId="46B45DFB" w:rsidR="000F2491" w:rsidRDefault="00017E65" w:rsidP="00530CF3">
      <w:r>
        <w:t xml:space="preserve">In 2019, </w:t>
      </w:r>
      <w:r w:rsidR="002D17C3">
        <w:t>558,</w:t>
      </w:r>
      <w:r w:rsidR="00332DE8">
        <w:t xml:space="preserve">923 tons </w:t>
      </w:r>
      <w:r w:rsidR="00D0755E">
        <w:t xml:space="preserve">of MSW generated by CRCOG communities </w:t>
      </w:r>
      <w:r w:rsidR="00332DE8">
        <w:t>w</w:t>
      </w:r>
      <w:r w:rsidR="00D0755E">
        <w:t xml:space="preserve">as </w:t>
      </w:r>
      <w:r w:rsidR="00332DE8">
        <w:t xml:space="preserve">disposed as trash and sent to waste to energy facilities or landfills and </w:t>
      </w:r>
      <w:r w:rsidR="00CD1C87">
        <w:t>170,186 tons w</w:t>
      </w:r>
      <w:r w:rsidR="00D0755E">
        <w:t>as</w:t>
      </w:r>
      <w:r w:rsidR="00CD1C87">
        <w:t xml:space="preserve"> recycled or composted.</w:t>
      </w:r>
      <w:r w:rsidR="00CF690C">
        <w:rPr>
          <w:rStyle w:val="FootnoteReference"/>
        </w:rPr>
        <w:footnoteReference w:id="14"/>
      </w:r>
    </w:p>
    <w:p w14:paraId="2C148049" w14:textId="26F5AC7C" w:rsidR="008713CA" w:rsidRDefault="008713CA" w:rsidP="00530CF3">
      <w:pPr>
        <w:rPr>
          <w:noProof/>
        </w:rPr>
      </w:pPr>
    </w:p>
    <w:p w14:paraId="1F8D0750" w14:textId="302EED4E" w:rsidR="00D7580D" w:rsidRDefault="00D7580D" w:rsidP="00D7580D">
      <w:pPr>
        <w:pStyle w:val="Caption"/>
        <w:keepNext/>
      </w:pPr>
      <w:bookmarkStart w:id="48" w:name="_Toc116999581"/>
      <w:bookmarkStart w:id="49" w:name="_Toc116992589"/>
      <w:r>
        <w:t xml:space="preserve">Figure </w:t>
      </w:r>
      <w:r w:rsidR="00E9026D">
        <w:fldChar w:fldCharType="begin"/>
      </w:r>
      <w:r w:rsidR="00E9026D">
        <w:instrText xml:space="preserve"> SEQ Figure \* ARABIC </w:instrText>
      </w:r>
      <w:r w:rsidR="00E9026D">
        <w:fldChar w:fldCharType="separate"/>
      </w:r>
      <w:r w:rsidR="00466B00">
        <w:rPr>
          <w:noProof/>
        </w:rPr>
        <w:t>7</w:t>
      </w:r>
      <w:r w:rsidR="00E9026D">
        <w:rPr>
          <w:noProof/>
        </w:rPr>
        <w:fldChar w:fldCharType="end"/>
      </w:r>
      <w:r>
        <w:t xml:space="preserve"> 2019 CRCOG Waste Generation and Fate (Tons Per Year)</w:t>
      </w:r>
      <w:bookmarkEnd w:id="48"/>
      <w:bookmarkEnd w:id="49"/>
    </w:p>
    <w:p w14:paraId="298A4E2E" w14:textId="1E44232D" w:rsidR="008713CA" w:rsidRDefault="00BF6F8F" w:rsidP="00530CF3">
      <w:pPr>
        <w:rPr>
          <w:noProof/>
        </w:rPr>
      </w:pPr>
      <w:r w:rsidRPr="008F03A9">
        <w:rPr>
          <w:noProof/>
        </w:rPr>
        <w:drawing>
          <wp:inline distT="0" distB="0" distL="0" distR="0" wp14:anchorId="0AA67870" wp14:editId="1020DA14">
            <wp:extent cx="6557010" cy="3125470"/>
            <wp:effectExtent l="0" t="0" r="0" b="0"/>
            <wp:docPr id="17" name="Chart 17">
              <a:extLst xmlns:a="http://schemas.openxmlformats.org/drawingml/2006/main">
                <a:ext uri="{FF2B5EF4-FFF2-40B4-BE49-F238E27FC236}">
                  <a16:creationId xmlns:a16="http://schemas.microsoft.com/office/drawing/2014/main" id="{872FB98A-84F8-2C7C-0148-A5BB20E991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E3A4DF2" w14:textId="77777777" w:rsidR="00E446A2" w:rsidRDefault="00E446A2" w:rsidP="00530CF3"/>
    <w:p w14:paraId="0E96D5F0" w14:textId="2C0FCAED" w:rsidR="000C6355" w:rsidRPr="00E27F52" w:rsidRDefault="00EF4A03" w:rsidP="00E27F52">
      <w:pPr>
        <w:spacing w:line="240" w:lineRule="auto"/>
        <w:jc w:val="left"/>
        <w:rPr>
          <w:i/>
          <w:iCs/>
          <w:color w:val="002A7B" w:themeColor="text2"/>
          <w:sz w:val="18"/>
        </w:rPr>
      </w:pPr>
      <w:r>
        <w:t>Diverted waste can be further br</w:t>
      </w:r>
      <w:r w:rsidR="0039639C">
        <w:t>oken down by type and source</w:t>
      </w:r>
      <w:r w:rsidR="00020FF8">
        <w:t xml:space="preserve">. Recyclables refers to common recyclables typically accepted in curbside recycling programs whereas other recyclables refers to </w:t>
      </w:r>
      <w:r w:rsidR="00CB78BF">
        <w:t>items that are recyclable through other channels</w:t>
      </w:r>
      <w:r w:rsidR="0079774A">
        <w:t>, such as drop off programs, and include</w:t>
      </w:r>
      <w:r w:rsidR="00543EC7">
        <w:t>s</w:t>
      </w:r>
      <w:r w:rsidR="0079774A">
        <w:t xml:space="preserve"> items like scrap metal, appliances, and textiles.</w:t>
      </w:r>
    </w:p>
    <w:p w14:paraId="1ECB5535" w14:textId="77777777" w:rsidR="00161601" w:rsidRPr="00EF4A03" w:rsidRDefault="00161601" w:rsidP="00530CF3"/>
    <w:p w14:paraId="414FF2C3" w14:textId="7728FE50" w:rsidR="00BC292E" w:rsidRDefault="00BC292E" w:rsidP="00BC292E">
      <w:pPr>
        <w:pStyle w:val="Caption"/>
        <w:keepNext/>
      </w:pPr>
      <w:bookmarkStart w:id="50" w:name="_Toc116999582"/>
      <w:bookmarkStart w:id="51" w:name="_Toc116992590"/>
      <w:r>
        <w:t xml:space="preserve">Figure </w:t>
      </w:r>
      <w:r w:rsidR="00E9026D">
        <w:fldChar w:fldCharType="begin"/>
      </w:r>
      <w:r w:rsidR="00E9026D">
        <w:instrText xml:space="preserve"> SEQ Figure \* ARABIC </w:instrText>
      </w:r>
      <w:r w:rsidR="00E9026D">
        <w:fldChar w:fldCharType="separate"/>
      </w:r>
      <w:r w:rsidR="00466B00">
        <w:rPr>
          <w:noProof/>
        </w:rPr>
        <w:t>8</w:t>
      </w:r>
      <w:r w:rsidR="00E9026D">
        <w:rPr>
          <w:noProof/>
        </w:rPr>
        <w:fldChar w:fldCharType="end"/>
      </w:r>
      <w:r>
        <w:t xml:space="preserve"> 2019 CRCOG Diverted Waste by Source and Type</w:t>
      </w:r>
      <w:bookmarkEnd w:id="50"/>
      <w:bookmarkEnd w:id="51"/>
    </w:p>
    <w:p w14:paraId="7549265C" w14:textId="70250297" w:rsidR="00CA1F50" w:rsidRDefault="00CA1F50" w:rsidP="00530CF3">
      <w:r w:rsidRPr="00BA4B9E">
        <w:rPr>
          <w:noProof/>
        </w:rPr>
        <w:drawing>
          <wp:inline distT="0" distB="0" distL="0" distR="0" wp14:anchorId="56E15FED" wp14:editId="10B3F385">
            <wp:extent cx="6414135" cy="2346960"/>
            <wp:effectExtent l="0" t="0" r="5715" b="0"/>
            <wp:docPr id="40" name="Chart 40">
              <a:extLst xmlns:a="http://schemas.openxmlformats.org/drawingml/2006/main">
                <a:ext uri="{FF2B5EF4-FFF2-40B4-BE49-F238E27FC236}">
                  <a16:creationId xmlns:a16="http://schemas.microsoft.com/office/drawing/2014/main" id="{81B5B473-10FD-BE7D-B54B-20BA095ED9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6706024" w14:textId="77777777" w:rsidR="00CA1F50" w:rsidRDefault="00CA1F50" w:rsidP="00530CF3"/>
    <w:p w14:paraId="6B93DCBB" w14:textId="0B2FD813" w:rsidR="00E27F52" w:rsidRDefault="00E27F52" w:rsidP="00E27F52">
      <w:pPr>
        <w:pStyle w:val="Subtitle"/>
      </w:pPr>
      <w:bookmarkStart w:id="52" w:name="_Toc117000325"/>
      <w:bookmarkStart w:id="53" w:name="_Toc117001048"/>
      <w:bookmarkEnd w:id="33"/>
      <w:r>
        <w:t>Other Measures</w:t>
      </w:r>
      <w:bookmarkEnd w:id="52"/>
      <w:bookmarkEnd w:id="53"/>
    </w:p>
    <w:p w14:paraId="06495044" w14:textId="77777777" w:rsidR="00E27F52" w:rsidRDefault="00E27F52" w:rsidP="00E27F52">
      <w:pPr>
        <w:pStyle w:val="Subtitle2"/>
      </w:pPr>
      <w:r>
        <w:t>Per Capita Waste Disposal</w:t>
      </w:r>
    </w:p>
    <w:p w14:paraId="4598F23B" w14:textId="22EE039A" w:rsidR="00E27F52" w:rsidRDefault="00E27F52" w:rsidP="00E27F52">
      <w:r>
        <w:t>Another commonly used metric is waste disposed per capita. This metric, expressed as lbs. per person per day is utilized to compare only the waste that is sent to waste-to-energy (WtF) facilities or landfill. In 2019, the CRCOG median was 949 lbs. per person per year compared to a national average of 1,095. Waste disposed per capita for CRCOG communities with unit-based pricing programs in place were 821 lbs. per person per year for Coventry and 614 lbs. per person per year for Mansfield.</w:t>
      </w:r>
    </w:p>
    <w:p w14:paraId="64A39978" w14:textId="77777777" w:rsidR="0049128E" w:rsidRDefault="0049128E" w:rsidP="00E27F52"/>
    <w:p w14:paraId="17919DBF" w14:textId="714FEF30" w:rsidR="00E27F52" w:rsidRDefault="00E27F52" w:rsidP="00E27F52">
      <w:pPr>
        <w:pStyle w:val="Caption"/>
        <w:keepNext/>
      </w:pPr>
      <w:r>
        <w:t>Figure 8 Pounds Disposed per Capita per Year</w:t>
      </w:r>
    </w:p>
    <w:p w14:paraId="6A098129" w14:textId="45FE1D47" w:rsidR="0025374D" w:rsidRDefault="00E27F52" w:rsidP="003067A8">
      <w:pPr>
        <w:pStyle w:val="Subtitle"/>
      </w:pPr>
      <w:bookmarkStart w:id="54" w:name="_Toc116998681"/>
      <w:bookmarkStart w:id="55" w:name="_Toc117000326"/>
      <w:bookmarkStart w:id="56" w:name="_Toc117001049"/>
      <w:r>
        <w:rPr>
          <w:noProof/>
        </w:rPr>
        <w:drawing>
          <wp:inline distT="0" distB="0" distL="0" distR="0" wp14:anchorId="41774A59" wp14:editId="0B6946A0">
            <wp:extent cx="6385560" cy="3200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bookmarkEnd w:id="54"/>
      <w:bookmarkEnd w:id="55"/>
      <w:bookmarkEnd w:id="56"/>
    </w:p>
    <w:p w14:paraId="09C473B9" w14:textId="77777777" w:rsidR="003067A8" w:rsidRPr="003067A8" w:rsidRDefault="003067A8" w:rsidP="003067A8"/>
    <w:p w14:paraId="6C9696A9" w14:textId="4C7971A4" w:rsidR="00CD452D" w:rsidRDefault="00AF1F75" w:rsidP="00E27F52">
      <w:pPr>
        <w:pStyle w:val="Subtitle2"/>
      </w:pPr>
      <w:r>
        <w:t xml:space="preserve">Residential Curbside Recyclables </w:t>
      </w:r>
      <w:r w:rsidR="00BF49C2">
        <w:t>C</w:t>
      </w:r>
      <w:r>
        <w:t xml:space="preserve">ollected per </w:t>
      </w:r>
      <w:r w:rsidR="00BF49C2">
        <w:t>H</w:t>
      </w:r>
      <w:r>
        <w:t xml:space="preserve">ousehold per </w:t>
      </w:r>
      <w:r w:rsidR="00BF49C2">
        <w:t>Y</w:t>
      </w:r>
      <w:r>
        <w:t>ear</w:t>
      </w:r>
    </w:p>
    <w:p w14:paraId="6D2DE1F9" w14:textId="7E56372F" w:rsidR="00FB42B4" w:rsidRDefault="00AF1F75" w:rsidP="0003085B">
      <w:pPr>
        <w:jc w:val="left"/>
      </w:pPr>
      <w:r>
        <w:t xml:space="preserve">Another common measure for the efficacy of residential recycling programs is the pounds per year of recyclables collected per household. </w:t>
      </w:r>
      <w:r w:rsidR="007536AA">
        <w:t>CRCOG communities</w:t>
      </w:r>
      <w:r w:rsidR="00143F10">
        <w:t>’</w:t>
      </w:r>
      <w:r w:rsidR="007536AA">
        <w:t xml:space="preserve"> average pounds of residential commingled recyclables collected per year was </w:t>
      </w:r>
      <w:r w:rsidR="006D5541">
        <w:t>421</w:t>
      </w:r>
      <w:r w:rsidR="00043C33">
        <w:t xml:space="preserve"> lbs</w:t>
      </w:r>
      <w:r w:rsidR="006D5541">
        <w:t xml:space="preserve">. </w:t>
      </w:r>
      <w:r w:rsidR="00F00BCC">
        <w:t xml:space="preserve">According to the Recycling Partnership’s 2020 State of Curbside Report, </w:t>
      </w:r>
      <w:r w:rsidR="002233A2">
        <w:t xml:space="preserve">the average pounds per households of recyclables collected per year for households with </w:t>
      </w:r>
      <w:r w:rsidR="000C2CB6">
        <w:t xml:space="preserve">automatic curbside service is 459 </w:t>
      </w:r>
      <w:r w:rsidR="00024428">
        <w:t>lbs.</w:t>
      </w:r>
      <w:r w:rsidR="000C2CB6">
        <w:t xml:space="preserve"> per household per year.</w:t>
      </w:r>
      <w:r w:rsidR="007A0B76">
        <w:rPr>
          <w:rStyle w:val="FootnoteReference"/>
        </w:rPr>
        <w:footnoteReference w:id="15"/>
      </w:r>
      <w:r w:rsidR="006D5541">
        <w:t xml:space="preserve"> High performing programs can collect 550</w:t>
      </w:r>
      <w:r w:rsidR="008F5923">
        <w:t xml:space="preserve"> - 600</w:t>
      </w:r>
      <w:r w:rsidR="006D5541">
        <w:t xml:space="preserve"> </w:t>
      </w:r>
      <w:r w:rsidR="00024428">
        <w:t>lbs</w:t>
      </w:r>
      <w:r w:rsidR="00E27F52">
        <w:t>.</w:t>
      </w:r>
      <w:r w:rsidR="00354FEF">
        <w:t xml:space="preserve"> </w:t>
      </w:r>
      <w:r w:rsidR="006D5541">
        <w:t>of recyclables per year</w:t>
      </w:r>
      <w:r w:rsidR="0085763F">
        <w:t xml:space="preserve">. </w:t>
      </w:r>
      <w:r w:rsidR="00C05D84">
        <w:t>It is important to note that the CRCOG figure</w:t>
      </w:r>
      <w:r w:rsidR="00D539EA">
        <w:t xml:space="preserve"> may include tonnages collected from multi-family </w:t>
      </w:r>
      <w:r w:rsidR="00143F10">
        <w:t>households</w:t>
      </w:r>
      <w:r w:rsidR="008F5923">
        <w:t xml:space="preserve"> which is not accounted for in</w:t>
      </w:r>
      <w:r w:rsidR="00143F10">
        <w:t xml:space="preserve"> other numbers</w:t>
      </w:r>
      <w:r w:rsidR="00D539EA">
        <w:t>.</w:t>
      </w:r>
    </w:p>
    <w:p w14:paraId="59256F55" w14:textId="265FBAB0" w:rsidR="006C3D5A" w:rsidRDefault="00FB42B4" w:rsidP="0003085B">
      <w:pPr>
        <w:jc w:val="left"/>
      </w:pPr>
      <w:r>
        <w:rPr>
          <w:noProof/>
        </w:rPr>
        <mc:AlternateContent>
          <mc:Choice Requires="wps">
            <w:drawing>
              <wp:anchor distT="0" distB="0" distL="114300" distR="114300" simplePos="0" relativeHeight="251658252" behindDoc="0" locked="0" layoutInCell="1" allowOverlap="1" wp14:anchorId="0EC22640" wp14:editId="4189A903">
                <wp:simplePos x="0" y="0"/>
                <wp:positionH relativeFrom="margin">
                  <wp:align>left</wp:align>
                </wp:positionH>
                <wp:positionV relativeFrom="paragraph">
                  <wp:posOffset>0</wp:posOffset>
                </wp:positionV>
                <wp:extent cx="6423660" cy="457200"/>
                <wp:effectExtent l="0" t="0" r="0" b="0"/>
                <wp:wrapTopAndBottom/>
                <wp:docPr id="9" name="Text Box 9"/>
                <wp:cNvGraphicFramePr/>
                <a:graphic xmlns:a="http://schemas.openxmlformats.org/drawingml/2006/main">
                  <a:graphicData uri="http://schemas.microsoft.com/office/word/2010/wordprocessingShape">
                    <wps:wsp>
                      <wps:cNvSpPr txBox="1"/>
                      <wps:spPr>
                        <a:xfrm>
                          <a:off x="0" y="0"/>
                          <a:ext cx="6423660" cy="457200"/>
                        </a:xfrm>
                        <a:prstGeom prst="rect">
                          <a:avLst/>
                        </a:prstGeom>
                        <a:solidFill>
                          <a:prstClr val="white"/>
                        </a:solidFill>
                        <a:ln>
                          <a:noFill/>
                        </a:ln>
                      </wps:spPr>
                      <wps:txbx>
                        <w:txbxContent>
                          <w:p w14:paraId="27571F97" w14:textId="0424093C" w:rsidR="0049128E" w:rsidRPr="007D4677" w:rsidRDefault="0049128E" w:rsidP="0049128E">
                            <w:pPr>
                              <w:pStyle w:val="Caption"/>
                            </w:pPr>
                            <w:bookmarkStart w:id="57" w:name="_Toc116999583"/>
                            <w:bookmarkStart w:id="58" w:name="_Toc116992591"/>
                            <w:r>
                              <w:t xml:space="preserve">Figure </w:t>
                            </w:r>
                            <w:r w:rsidR="00E9026D">
                              <w:fldChar w:fldCharType="begin"/>
                            </w:r>
                            <w:r w:rsidR="00E9026D">
                              <w:instrText xml:space="preserve"> SEQ Figure \* ARABIC </w:instrText>
                            </w:r>
                            <w:r w:rsidR="00E9026D">
                              <w:fldChar w:fldCharType="separate"/>
                            </w:r>
                            <w:r w:rsidR="00466B00">
                              <w:rPr>
                                <w:noProof/>
                              </w:rPr>
                              <w:t>9</w:t>
                            </w:r>
                            <w:r w:rsidR="00E9026D">
                              <w:rPr>
                                <w:noProof/>
                              </w:rPr>
                              <w:fldChar w:fldCharType="end"/>
                            </w:r>
                            <w:r>
                              <w:t xml:space="preserve"> Residential Curbside Recyclables Collected per Household per Year</w:t>
                            </w:r>
                            <w:bookmarkEnd w:id="57"/>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EC22640" id="Text Box 9" o:spid="_x0000_s1033" type="#_x0000_t202" style="position:absolute;margin-left:0;margin-top:0;width:505.8pt;height:36pt;z-index:2516582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" stroked="f">
                <v:textbox inset="0,0,0,0">
                  <w:txbxContent>
                    <w:p w14:paraId="27571F97" w14:textId="0424093C" w:rsidR="0049128E" w:rsidRPr="007D4677" w:rsidRDefault="0049128E" w:rsidP="0049128E">
                      <w:pPr>
                        <w:pStyle w:val="Caption"/>
                      </w:pPr>
                      <w:bookmarkStart w:id="63" w:name="_Toc116999583"/>
                      <w:bookmarkStart w:id="64" w:name="_Toc116992591"/>
                      <w:r>
                        <w:t xml:space="preserve">Figure </w:t>
                      </w:r>
                      <w:fldSimple w:instr=" SEQ Figure \* ARABIC ">
                        <w:r w:rsidR="00466B00">
                          <w:rPr>
                            <w:noProof/>
                          </w:rPr>
                          <w:t>9</w:t>
                        </w:r>
                      </w:fldSimple>
                      <w:r>
                        <w:t xml:space="preserve"> Residential Curbside Recyclables Collected per Household per Year</w:t>
                      </w:r>
                      <w:bookmarkEnd w:id="63"/>
                      <w:bookmarkEnd w:id="64"/>
                    </w:p>
                  </w:txbxContent>
                </v:textbox>
                <w10:wrap type="topAndBottom" anchorx="margin"/>
              </v:shape>
            </w:pict>
          </mc:Fallback>
        </mc:AlternateContent>
      </w:r>
      <w:r w:rsidR="00D539EA">
        <w:t xml:space="preserve"> </w:t>
      </w:r>
      <w:r w:rsidR="0025374D">
        <w:rPr>
          <w:noProof/>
        </w:rPr>
        <w:drawing>
          <wp:inline distT="0" distB="0" distL="0" distR="0" wp14:anchorId="11A3366E" wp14:editId="47179911">
            <wp:extent cx="6423660" cy="3200400"/>
            <wp:effectExtent l="0" t="0" r="1524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3C089F6" w14:textId="77777777" w:rsidR="0025374D" w:rsidRDefault="0025374D">
      <w:pPr>
        <w:spacing w:line="240" w:lineRule="auto"/>
        <w:jc w:val="left"/>
        <w:rPr>
          <w:rFonts w:ascii="Georgia" w:hAnsi="Georgia" w:cs="Arial (Body CS)"/>
          <w:b/>
          <w:bCs/>
          <w:spacing w:val="4"/>
          <w:sz w:val="40"/>
          <w:szCs w:val="40"/>
        </w:rPr>
      </w:pPr>
      <w:r>
        <w:rPr>
          <w:sz w:val="40"/>
          <w:szCs w:val="40"/>
        </w:rPr>
        <w:br w:type="page"/>
      </w:r>
    </w:p>
    <w:p w14:paraId="0C2CF33D" w14:textId="05FA64A7" w:rsidR="006C3D5A" w:rsidRPr="00DD30EF" w:rsidRDefault="00F80279" w:rsidP="00DD30EF">
      <w:pPr>
        <w:pStyle w:val="Heading1"/>
        <w:rPr>
          <w:sz w:val="40"/>
          <w:szCs w:val="40"/>
        </w:rPr>
      </w:pPr>
      <w:bookmarkStart w:id="59" w:name="_Toc117001050"/>
      <w:r w:rsidRPr="00DD30EF">
        <w:rPr>
          <w:sz w:val="40"/>
          <w:szCs w:val="40"/>
        </w:rPr>
        <w:t>System Assessment</w:t>
      </w:r>
      <w:r w:rsidR="002514F4">
        <w:rPr>
          <w:sz w:val="40"/>
          <w:szCs w:val="40"/>
        </w:rPr>
        <w:t xml:space="preserve"> and</w:t>
      </w:r>
      <w:r w:rsidR="00DD30EF" w:rsidRPr="00DD30EF">
        <w:rPr>
          <w:sz w:val="40"/>
          <w:szCs w:val="40"/>
        </w:rPr>
        <w:t xml:space="preserve"> I</w:t>
      </w:r>
      <w:r w:rsidR="00490819" w:rsidRPr="00DD30EF">
        <w:rPr>
          <w:sz w:val="40"/>
          <w:szCs w:val="40"/>
        </w:rPr>
        <w:t>nfrastructure Inventory</w:t>
      </w:r>
      <w:bookmarkEnd w:id="59"/>
    </w:p>
    <w:p w14:paraId="58A2FA14" w14:textId="63E648C1" w:rsidR="00250C2D" w:rsidRPr="009E4050" w:rsidRDefault="00250C2D" w:rsidP="006845CF">
      <w:pPr>
        <w:pStyle w:val="Subtitle"/>
      </w:pPr>
      <w:bookmarkStart w:id="60" w:name="_Toc117000328"/>
      <w:bookmarkStart w:id="61" w:name="_Toc117001051"/>
      <w:r w:rsidRPr="009E4050">
        <w:t>Methodology</w:t>
      </w:r>
      <w:bookmarkEnd w:id="60"/>
      <w:bookmarkEnd w:id="61"/>
    </w:p>
    <w:p w14:paraId="558D8869" w14:textId="4D3D9D2D" w:rsidR="00891A70" w:rsidRDefault="00D13826" w:rsidP="00530CF3">
      <w:r>
        <w:rPr>
          <w:noProof/>
        </w:rPr>
        <mc:AlternateContent>
          <mc:Choice Requires="wps">
            <w:drawing>
              <wp:anchor distT="0" distB="0" distL="114300" distR="114300" simplePos="0" relativeHeight="251658254" behindDoc="0" locked="0" layoutInCell="1" allowOverlap="1" wp14:anchorId="74637ABC" wp14:editId="44CBA879">
                <wp:simplePos x="0" y="0"/>
                <wp:positionH relativeFrom="margin">
                  <wp:posOffset>3958590</wp:posOffset>
                </wp:positionH>
                <wp:positionV relativeFrom="paragraph">
                  <wp:posOffset>70485</wp:posOffset>
                </wp:positionV>
                <wp:extent cx="2722880" cy="457200"/>
                <wp:effectExtent l="0" t="0" r="1270" b="0"/>
                <wp:wrapSquare wrapText="bothSides"/>
                <wp:docPr id="11" name="Text Box 11"/>
                <wp:cNvGraphicFramePr/>
                <a:graphic xmlns:a="http://schemas.openxmlformats.org/drawingml/2006/main">
                  <a:graphicData uri="http://schemas.microsoft.com/office/word/2010/wordprocessingShape">
                    <wps:wsp>
                      <wps:cNvSpPr txBox="1"/>
                      <wps:spPr>
                        <a:xfrm>
                          <a:off x="0" y="0"/>
                          <a:ext cx="2722880" cy="457200"/>
                        </a:xfrm>
                        <a:prstGeom prst="rect">
                          <a:avLst/>
                        </a:prstGeom>
                        <a:solidFill>
                          <a:prstClr val="white"/>
                        </a:solidFill>
                        <a:ln>
                          <a:noFill/>
                        </a:ln>
                      </wps:spPr>
                      <wps:txbx>
                        <w:txbxContent>
                          <w:p w14:paraId="236427A9" w14:textId="143C40E8" w:rsidR="00BE25E3" w:rsidRPr="000853FE" w:rsidRDefault="00BE25E3" w:rsidP="00BE25E3">
                            <w:pPr>
                              <w:pStyle w:val="Caption"/>
                              <w:rPr>
                                <w:noProof/>
                                <w:color w:val="2B2929" w:themeColor="text1" w:themeShade="BF"/>
                                <w:sz w:val="20"/>
                              </w:rPr>
                            </w:pPr>
                            <w:bookmarkStart w:id="62" w:name="_Toc116999584"/>
                            <w:bookmarkStart w:id="63" w:name="_Toc116992592"/>
                            <w:r>
                              <w:t xml:space="preserve">Figure </w:t>
                            </w:r>
                            <w:r w:rsidR="00E9026D">
                              <w:fldChar w:fldCharType="begin"/>
                            </w:r>
                            <w:r w:rsidR="00E9026D">
                              <w:instrText xml:space="preserve"> SEQ Figure \* ARABIC </w:instrText>
                            </w:r>
                            <w:r w:rsidR="00E9026D">
                              <w:fldChar w:fldCharType="separate"/>
                            </w:r>
                            <w:r w:rsidR="00466B00">
                              <w:rPr>
                                <w:noProof/>
                              </w:rPr>
                              <w:t>10</w:t>
                            </w:r>
                            <w:r w:rsidR="00E9026D">
                              <w:rPr>
                                <w:noProof/>
                              </w:rPr>
                              <w:fldChar w:fldCharType="end"/>
                            </w:r>
                            <w:r>
                              <w:t xml:space="preserve"> Six Areas of Best Practices</w:t>
                            </w:r>
                            <w:bookmarkEnd w:id="62"/>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4637ABC" id="Text Box 11" o:spid="_x0000_s1034" type="#_x0000_t202" style="position:absolute;left:0;text-align:left;margin-left:311.7pt;margin-top:5.55pt;width:214.4pt;height:36pt;z-index:25165825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" stroked="f">
                <v:textbox inset="0,0,0,0">
                  <w:txbxContent>
                    <w:p w14:paraId="236427A9" w14:textId="143C40E8" w:rsidR="00BE25E3" w:rsidRPr="000853FE" w:rsidRDefault="00BE25E3" w:rsidP="00BE25E3">
                      <w:pPr>
                        <w:pStyle w:val="Caption"/>
                        <w:rPr>
                          <w:noProof/>
                          <w:color w:val="2B2929" w:themeColor="text1" w:themeShade="BF"/>
                          <w:sz w:val="20"/>
                        </w:rPr>
                      </w:pPr>
                      <w:bookmarkStart w:id="70" w:name="_Toc116999584"/>
                      <w:bookmarkStart w:id="71" w:name="_Toc116992592"/>
                      <w:r>
                        <w:t xml:space="preserve">Figure </w:t>
                      </w:r>
                      <w:fldSimple w:instr=" SEQ Figure \* ARABIC ">
                        <w:r w:rsidR="00466B00">
                          <w:rPr>
                            <w:noProof/>
                          </w:rPr>
                          <w:t>10</w:t>
                        </w:r>
                      </w:fldSimple>
                      <w:r>
                        <w:t xml:space="preserve"> Six Areas of Best Practices</w:t>
                      </w:r>
                      <w:bookmarkEnd w:id="70"/>
                      <w:bookmarkEnd w:id="71"/>
                    </w:p>
                  </w:txbxContent>
                </v:textbox>
                <w10:wrap type="square" anchorx="margin"/>
              </v:shape>
            </w:pict>
          </mc:Fallback>
        </mc:AlternateContent>
      </w:r>
      <w:r w:rsidR="00250C2D" w:rsidRPr="007F3E6F">
        <w:t>T</w:t>
      </w:r>
      <w:r w:rsidR="00250C2D">
        <w:t xml:space="preserve">o complete the </w:t>
      </w:r>
      <w:r w:rsidR="0013308A">
        <w:t xml:space="preserve">infrastructure inventory and </w:t>
      </w:r>
      <w:r w:rsidR="004B2AAB">
        <w:t>system assessment</w:t>
      </w:r>
      <w:r w:rsidR="00250C2D">
        <w:t xml:space="preserve">, </w:t>
      </w:r>
      <w:r w:rsidR="004B2AAB">
        <w:t>RRS</w:t>
      </w:r>
      <w:r w:rsidR="00891A70">
        <w:t xml:space="preserve"> and Tetra Tech:</w:t>
      </w:r>
    </w:p>
    <w:p w14:paraId="346616E0" w14:textId="3A32E310" w:rsidR="00891A70" w:rsidRDefault="00891A70" w:rsidP="00891A70">
      <w:pPr>
        <w:pStyle w:val="ListParagraph"/>
        <w:numPr>
          <w:ilvl w:val="0"/>
          <w:numId w:val="41"/>
        </w:numPr>
      </w:pPr>
      <w:r>
        <w:t>C</w:t>
      </w:r>
      <w:r w:rsidR="004B2AAB">
        <w:t>onducted a survey of CRCOG member jurisdictions</w:t>
      </w:r>
    </w:p>
    <w:p w14:paraId="4F888061" w14:textId="65E4D66E" w:rsidR="0093556C" w:rsidRDefault="00D13826" w:rsidP="00891A70">
      <w:pPr>
        <w:pStyle w:val="ListParagraph"/>
        <w:numPr>
          <w:ilvl w:val="0"/>
          <w:numId w:val="41"/>
        </w:numPr>
      </w:pPr>
      <w:r w:rsidRPr="00233B4C">
        <w:rPr>
          <w:noProof/>
        </w:rPr>
        <w:drawing>
          <wp:anchor distT="0" distB="0" distL="114300" distR="114300" simplePos="0" relativeHeight="251658248" behindDoc="1" locked="0" layoutInCell="1" allowOverlap="1" wp14:anchorId="07C45E63" wp14:editId="45BDC054">
            <wp:simplePos x="0" y="0"/>
            <wp:positionH relativeFrom="column">
              <wp:posOffset>3854450</wp:posOffset>
            </wp:positionH>
            <wp:positionV relativeFrom="paragraph">
              <wp:posOffset>8890</wp:posOffset>
            </wp:positionV>
            <wp:extent cx="2722880" cy="2613660"/>
            <wp:effectExtent l="0" t="0" r="1270" b="0"/>
            <wp:wrapSquare wrapText="bothSides"/>
            <wp:docPr id="7" name="Picture 5" descr="A picture containing clock, device&#10;&#10;Description automatically generated">
              <a:extLst xmlns:a="http://schemas.openxmlformats.org/drawingml/2006/main">
                <a:ext uri="{FF2B5EF4-FFF2-40B4-BE49-F238E27FC236}">
                  <a16:creationId xmlns:a16="http://schemas.microsoft.com/office/drawing/2014/main" id="{9ADA9CCF-4B76-56F9-D5CE-D9B51293CC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clock, device&#10;&#10;Description automatically generated">
                      <a:extLst>
                        <a:ext uri="{FF2B5EF4-FFF2-40B4-BE49-F238E27FC236}">
                          <a16:creationId xmlns:a16="http://schemas.microsoft.com/office/drawing/2014/main" id="{9ADA9CCF-4B76-56F9-D5CE-D9B51293CCD2}"/>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6318" t="7396" r="7111" b="8042"/>
                    <a:stretch/>
                  </pic:blipFill>
                  <pic:spPr bwMode="auto">
                    <a:xfrm>
                      <a:off x="0" y="0"/>
                      <a:ext cx="2722880" cy="2613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1A70">
        <w:t>R</w:t>
      </w:r>
      <w:r w:rsidR="004B2AAB">
        <w:t xml:space="preserve">eviewed data supplied by the CT </w:t>
      </w:r>
      <w:r w:rsidR="00317E19">
        <w:t>DEEP</w:t>
      </w:r>
    </w:p>
    <w:p w14:paraId="244A6BF5" w14:textId="2B0F2895" w:rsidR="00BD0D9C" w:rsidRDefault="003B6A44" w:rsidP="00891A70">
      <w:pPr>
        <w:pStyle w:val="ListParagraph"/>
        <w:numPr>
          <w:ilvl w:val="0"/>
          <w:numId w:val="41"/>
        </w:numPr>
      </w:pPr>
      <w:r>
        <w:t xml:space="preserve">Identified </w:t>
      </w:r>
      <w:r w:rsidR="00247779">
        <w:t>waste facilities and reviewed</w:t>
      </w:r>
      <w:r w:rsidR="00317E19">
        <w:t xml:space="preserve"> </w:t>
      </w:r>
      <w:r w:rsidR="00C81AFE">
        <w:t>state recycling, composting, anaerobic digestion</w:t>
      </w:r>
      <w:r w:rsidR="0093556C">
        <w:t>, landfill, waste to energy</w:t>
      </w:r>
      <w:r w:rsidR="00C81AFE">
        <w:t xml:space="preserve"> and transfer station </w:t>
      </w:r>
      <w:r w:rsidR="00317E19">
        <w:t>facility data</w:t>
      </w:r>
      <w:r w:rsidR="00580783">
        <w:t>,</w:t>
      </w:r>
      <w:r w:rsidR="00247779">
        <w:t xml:space="preserve"> in addition to data available from other sources</w:t>
      </w:r>
      <w:r w:rsidR="000A0280">
        <w:t>.</w:t>
      </w:r>
    </w:p>
    <w:p w14:paraId="12BF63C4" w14:textId="5F5551A4" w:rsidR="003A358B" w:rsidRDefault="2CFED8FA" w:rsidP="00BC244F">
      <w:pPr>
        <w:pStyle w:val="ListParagraph"/>
        <w:numPr>
          <w:ilvl w:val="0"/>
          <w:numId w:val="41"/>
        </w:numPr>
      </w:pPr>
      <w:r>
        <w:t>C</w:t>
      </w:r>
      <w:r w:rsidR="073E6CF9">
        <w:t>onducted a focus group</w:t>
      </w:r>
      <w:r w:rsidR="31167F2B">
        <w:t xml:space="preserve"> with five</w:t>
      </w:r>
      <w:r w:rsidR="5FC265B7">
        <w:t xml:space="preserve"> (5)</w:t>
      </w:r>
      <w:r w:rsidR="31167F2B">
        <w:t xml:space="preserve"> CRCOG jurisdictions</w:t>
      </w:r>
      <w:r w:rsidR="073E6CF9">
        <w:t xml:space="preserve"> to learn more about education</w:t>
      </w:r>
      <w:r w:rsidR="1C9B612E">
        <w:t xml:space="preserve"> and outreach and partnerships </w:t>
      </w:r>
      <w:r w:rsidR="5FC265B7">
        <w:t>within C</w:t>
      </w:r>
      <w:r w:rsidR="7F774C29">
        <w:t>RC</w:t>
      </w:r>
      <w:r w:rsidR="5FC265B7">
        <w:t>OG</w:t>
      </w:r>
      <w:r w:rsidR="00634F6F">
        <w:t xml:space="preserve">. </w:t>
      </w:r>
    </w:p>
    <w:p w14:paraId="3CA9FC74" w14:textId="7346A0F4" w:rsidR="00F51828" w:rsidRDefault="003A358B" w:rsidP="004B512A">
      <w:pPr>
        <w:pStyle w:val="ListParagraph"/>
        <w:numPr>
          <w:ilvl w:val="0"/>
          <w:numId w:val="41"/>
        </w:numPr>
      </w:pPr>
      <w:r>
        <w:t xml:space="preserve">Conducted </w:t>
      </w:r>
      <w:r w:rsidR="004B512A">
        <w:t>a high-level evaluation of the municipal solid waste management, from generation and processing through to disposal for CRCOG’s 38 member towns implementing a ‘mass balance’ approach</w:t>
      </w:r>
      <w:r w:rsidR="00F51828">
        <w:t xml:space="preserve"> </w:t>
      </w:r>
      <w:r w:rsidR="004B512A">
        <w:t>compar</w:t>
      </w:r>
      <w:r w:rsidR="00F51828">
        <w:t>ing</w:t>
      </w:r>
      <w:r w:rsidR="004B512A">
        <w:t xml:space="preserve"> the processing capacity of transfer stations to the disposal capacity at landfills and at WTE facilities surrounding CRCOG.</w:t>
      </w:r>
      <w:r w:rsidR="00674864">
        <w:rPr>
          <w:rStyle w:val="FootnoteReference"/>
        </w:rPr>
        <w:footnoteReference w:id="16"/>
      </w:r>
      <w:r w:rsidR="004B512A">
        <w:t xml:space="preserve"> </w:t>
      </w:r>
    </w:p>
    <w:p w14:paraId="6F101342" w14:textId="38379B59" w:rsidR="004B512A" w:rsidRDefault="00F51828" w:rsidP="00BC244F">
      <w:pPr>
        <w:pStyle w:val="ListParagraph"/>
        <w:numPr>
          <w:ilvl w:val="0"/>
          <w:numId w:val="41"/>
        </w:numPr>
      </w:pPr>
      <w:r>
        <w:t>I</w:t>
      </w:r>
      <w:r w:rsidR="004B512A">
        <w:t>dentifie</w:t>
      </w:r>
      <w:r>
        <w:t>d</w:t>
      </w:r>
      <w:r w:rsidR="004B512A">
        <w:t xml:space="preserve"> proximal </w:t>
      </w:r>
      <w:r w:rsidR="009527C4">
        <w:t xml:space="preserve">disposal </w:t>
      </w:r>
      <w:r w:rsidR="004B512A">
        <w:t>facilities with sufficient capacity to manage the current daily waste generation and to reduce transportation costs.</w:t>
      </w:r>
    </w:p>
    <w:p w14:paraId="483DCD53" w14:textId="77777777" w:rsidR="004B512A" w:rsidRDefault="004B512A" w:rsidP="00530CF3"/>
    <w:p w14:paraId="2F990ACC" w14:textId="1B124D37" w:rsidR="00250C2D" w:rsidRDefault="00AC1740" w:rsidP="00530CF3">
      <w:r>
        <w:t xml:space="preserve">From a waste diversion perspective, the </w:t>
      </w:r>
      <w:r w:rsidR="00250C2D" w:rsidRPr="29F13E79">
        <w:t xml:space="preserve">analysis identifies the potential system components that can be optimized or expanded and the gaps that may need to be addressed with new approaches to </w:t>
      </w:r>
      <w:r w:rsidR="00E56157">
        <w:t xml:space="preserve">support </w:t>
      </w:r>
      <w:r w:rsidR="00250C2D" w:rsidRPr="29F13E79">
        <w:t xml:space="preserve">reaching </w:t>
      </w:r>
      <w:r w:rsidR="00873ED1">
        <w:t>higher diversion rates</w:t>
      </w:r>
      <w:r w:rsidR="00250C2D" w:rsidRPr="29F13E79">
        <w:t xml:space="preserve">. Collectively, these gaps are opportunities for targeted </w:t>
      </w:r>
      <w:r w:rsidR="00250C2D">
        <w:t>strategies</w:t>
      </w:r>
      <w:r w:rsidR="00250C2D" w:rsidRPr="29F13E79">
        <w:t xml:space="preserve"> to improve access, improve recovery</w:t>
      </w:r>
      <w:r w:rsidR="007D6DFC">
        <w:t xml:space="preserve"> and </w:t>
      </w:r>
      <w:r w:rsidR="00250C2D">
        <w:t xml:space="preserve">reuse, </w:t>
      </w:r>
      <w:r w:rsidR="000625BB">
        <w:t xml:space="preserve">organics diversion, </w:t>
      </w:r>
      <w:r w:rsidR="00250C2D">
        <w:t>and waste minimization</w:t>
      </w:r>
      <w:r w:rsidR="00250C2D" w:rsidRPr="29F13E79">
        <w:t xml:space="preserve">, support recycling market development, and form partnerships. </w:t>
      </w:r>
    </w:p>
    <w:p w14:paraId="14A1D5B5" w14:textId="77777777" w:rsidR="00953630" w:rsidRDefault="00953630" w:rsidP="00530CF3"/>
    <w:p w14:paraId="19B7B503" w14:textId="37B80364" w:rsidR="00953630" w:rsidRPr="007F3E6F" w:rsidRDefault="00953630" w:rsidP="00530CF3">
      <w:pPr>
        <w:rPr>
          <w:sz w:val="18"/>
        </w:rPr>
      </w:pPr>
      <w:r>
        <w:t xml:space="preserve">From a waste disposal perspective, the </w:t>
      </w:r>
      <w:r w:rsidRPr="29F13E79">
        <w:t xml:space="preserve">analysis identifies </w:t>
      </w:r>
      <w:r>
        <w:t>needed and available</w:t>
      </w:r>
      <w:r w:rsidR="002359B9">
        <w:t xml:space="preserve"> disposal capacity. </w:t>
      </w:r>
    </w:p>
    <w:p w14:paraId="1D40069C" w14:textId="47AC6A8D" w:rsidR="00250C2D" w:rsidRPr="007F3E6F" w:rsidRDefault="00250C2D" w:rsidP="00250C2D">
      <w:pPr>
        <w:pStyle w:val="NoSpacing"/>
        <w:rPr>
          <w:color w:val="3A3737" w:themeColor="text1"/>
        </w:rPr>
      </w:pPr>
    </w:p>
    <w:p w14:paraId="3ADB6E75" w14:textId="374070A0" w:rsidR="006C3D5A" w:rsidRPr="00D5144B" w:rsidRDefault="00250C2D" w:rsidP="00530CF3">
      <w:r>
        <w:t>T</w:t>
      </w:r>
      <w:r w:rsidRPr="007F3E6F">
        <w:t>he project team u</w:t>
      </w:r>
      <w:r>
        <w:t>t</w:t>
      </w:r>
      <w:r w:rsidRPr="007F3E6F">
        <w:t>i</w:t>
      </w:r>
      <w:r>
        <w:t>l</w:t>
      </w:r>
      <w:r w:rsidRPr="007F3E6F">
        <w:t xml:space="preserve">ized six best management </w:t>
      </w:r>
      <w:r>
        <w:t>‘</w:t>
      </w:r>
      <w:r w:rsidRPr="007F3E6F">
        <w:t>pract</w:t>
      </w:r>
      <w:r>
        <w:t>ic</w:t>
      </w:r>
      <w:r w:rsidRPr="007F3E6F">
        <w:t>e areas</w:t>
      </w:r>
      <w:r>
        <w:t xml:space="preserve">’ as an organizing structure for the </w:t>
      </w:r>
      <w:r w:rsidR="00F52100">
        <w:t>system assessment</w:t>
      </w:r>
      <w:r w:rsidR="00704CB9" w:rsidRPr="007F3E6F">
        <w:t xml:space="preserve">. </w:t>
      </w:r>
      <w:r>
        <w:t xml:space="preserve">A highly functioning system requires all six practice areas to be working in concert, and no individual system component is significantly more important than another. For example, a community may have state-of-the-art processing for recyclables, but without education and outreach to instruct generators what should be recycled, </w:t>
      </w:r>
      <w:r w:rsidR="00D95B5A">
        <w:t>that system will not be high performing.</w:t>
      </w:r>
      <w:r>
        <w:t xml:space="preserve"> </w:t>
      </w:r>
      <w:r w:rsidR="006C3D5A">
        <w:t>RRS identifies collection, processing, end</w:t>
      </w:r>
      <w:r w:rsidR="00C523D3">
        <w:t>-</w:t>
      </w:r>
      <w:r w:rsidR="006C3D5A">
        <w:t>markets, policy, education, and financing partnerships as the</w:t>
      </w:r>
      <w:r w:rsidR="006C3D5A" w:rsidRPr="00BC1306">
        <w:t xml:space="preserve"> six </w:t>
      </w:r>
      <w:r w:rsidR="006C3D5A">
        <w:t xml:space="preserve">“key” </w:t>
      </w:r>
      <w:r w:rsidR="006C3D5A" w:rsidRPr="00BC1306">
        <w:t>areas of best management practices that must</w:t>
      </w:r>
      <w:r w:rsidR="006C3D5A">
        <w:t xml:space="preserve"> be integrated</w:t>
      </w:r>
      <w:r w:rsidR="006C3D5A" w:rsidRPr="00BC1306">
        <w:t xml:space="preserve"> for </w:t>
      </w:r>
      <w:r w:rsidR="006C3D5A">
        <w:t xml:space="preserve">system </w:t>
      </w:r>
      <w:r w:rsidR="006C3D5A" w:rsidRPr="00BC1306">
        <w:t>success</w:t>
      </w:r>
      <w:r w:rsidR="006C3D5A">
        <w:t>. T</w:t>
      </w:r>
      <w:r w:rsidR="006C3D5A" w:rsidRPr="00D5144B">
        <w:t>he six ‘key’ areas are:</w:t>
      </w:r>
    </w:p>
    <w:p w14:paraId="0F2955F3" w14:textId="7E9B8146" w:rsidR="006C3D5A" w:rsidRPr="00D5144B" w:rsidRDefault="006C3D5A" w:rsidP="00530CF3"/>
    <w:p w14:paraId="3FD2FDC8" w14:textId="2F182B0E" w:rsidR="006C3D5A" w:rsidRPr="00D5144B" w:rsidRDefault="006C3D5A" w:rsidP="00530CF3">
      <w:pPr>
        <w:pStyle w:val="ListParagraph"/>
        <w:numPr>
          <w:ilvl w:val="0"/>
          <w:numId w:val="9"/>
        </w:numPr>
      </w:pPr>
      <w:r w:rsidRPr="00B35B52">
        <w:rPr>
          <w:b/>
          <w:u w:val="single"/>
        </w:rPr>
        <w:t>Collection:</w:t>
      </w:r>
      <w:r w:rsidRPr="00B35B52">
        <w:rPr>
          <w:b/>
        </w:rPr>
        <w:t xml:space="preserve"> </w:t>
      </w:r>
      <w:r w:rsidRPr="00D5144B">
        <w:t xml:space="preserve">This </w:t>
      </w:r>
      <w:r>
        <w:t>key area</w:t>
      </w:r>
      <w:r w:rsidRPr="00D5144B">
        <w:t xml:space="preserve"> includes the process of moving materials from their point of generation to a consolidation or processing facility. Collection includes hauling companies as well as drop-off networks. </w:t>
      </w:r>
    </w:p>
    <w:p w14:paraId="1C5EA578" w14:textId="4DD1C8AF" w:rsidR="006C3D5A" w:rsidRPr="00D5144B" w:rsidRDefault="006C3D5A" w:rsidP="00530CF3">
      <w:pPr>
        <w:pStyle w:val="ListParagraph"/>
        <w:numPr>
          <w:ilvl w:val="0"/>
          <w:numId w:val="9"/>
        </w:numPr>
      </w:pPr>
      <w:r w:rsidRPr="00B35B52">
        <w:rPr>
          <w:b/>
          <w:u w:val="single"/>
        </w:rPr>
        <w:t>Processing:</w:t>
      </w:r>
      <w:r w:rsidRPr="00B35B52">
        <w:rPr>
          <w:b/>
        </w:rPr>
        <w:t xml:space="preserve"> </w:t>
      </w:r>
      <w:r w:rsidRPr="00D5144B">
        <w:t xml:space="preserve">The facilities and techniques for processing materials disposed, recycled, or composted in the </w:t>
      </w:r>
      <w:r w:rsidR="00EA10AB">
        <w:t>region</w:t>
      </w:r>
      <w:r w:rsidRPr="00D5144B">
        <w:t xml:space="preserve">. Processing facilities includes landfills, </w:t>
      </w:r>
      <w:r w:rsidR="002E2445">
        <w:t>waste to energy facilities, material recovery</w:t>
      </w:r>
      <w:r w:rsidR="006E3138">
        <w:t xml:space="preserve"> facilities (</w:t>
      </w:r>
      <w:r w:rsidRPr="00D5144B">
        <w:t>MRFs</w:t>
      </w:r>
      <w:r w:rsidR="006E3138">
        <w:t>)</w:t>
      </w:r>
      <w:r w:rsidRPr="00D5144B">
        <w:t>, transfer stations</w:t>
      </w:r>
      <w:r w:rsidR="006E3138">
        <w:t xml:space="preserve">, </w:t>
      </w:r>
      <w:r w:rsidRPr="00D5144B">
        <w:t xml:space="preserve">compost facilities, </w:t>
      </w:r>
      <w:r w:rsidR="006E3138">
        <w:t>and anaerobic digestion facilities</w:t>
      </w:r>
      <w:r w:rsidRPr="00D5144B">
        <w:t>.</w:t>
      </w:r>
      <w:r w:rsidRPr="00B35B52">
        <w:rPr>
          <w:b/>
        </w:rPr>
        <w:t xml:space="preserve"> </w:t>
      </w:r>
    </w:p>
    <w:p w14:paraId="75FEAED4" w14:textId="3D612F70" w:rsidR="006C3D5A" w:rsidRPr="00D5144B" w:rsidRDefault="006C3D5A" w:rsidP="00530CF3">
      <w:pPr>
        <w:pStyle w:val="ListParagraph"/>
        <w:numPr>
          <w:ilvl w:val="0"/>
          <w:numId w:val="9"/>
        </w:numPr>
      </w:pPr>
      <w:r w:rsidRPr="55EF7C31">
        <w:rPr>
          <w:b/>
          <w:bCs/>
          <w:u w:val="single"/>
        </w:rPr>
        <w:t>End</w:t>
      </w:r>
      <w:r w:rsidR="00C523D3">
        <w:rPr>
          <w:b/>
          <w:bCs/>
          <w:u w:val="single"/>
        </w:rPr>
        <w:t>-</w:t>
      </w:r>
      <w:r w:rsidRPr="55EF7C31">
        <w:rPr>
          <w:b/>
          <w:bCs/>
          <w:u w:val="single"/>
        </w:rPr>
        <w:t>Markets:</w:t>
      </w:r>
      <w:r w:rsidRPr="55EF7C31">
        <w:rPr>
          <w:b/>
          <w:bCs/>
        </w:rPr>
        <w:t xml:space="preserve"> </w:t>
      </w:r>
      <w:r w:rsidRPr="00D5144B">
        <w:t xml:space="preserve">The infrastructure available to purchase processed commodities. Some </w:t>
      </w:r>
      <w:r w:rsidR="00EE3E44">
        <w:br/>
      </w:r>
      <w:r w:rsidRPr="00D5144B">
        <w:t>end</w:t>
      </w:r>
      <w:r w:rsidR="00EE3E44">
        <w:t>-</w:t>
      </w:r>
      <w:r w:rsidRPr="00D5144B">
        <w:t>markets will do secondary processing prior to using the commodities while other will use the recycled commodities directly as inputs in remanufacturing. End</w:t>
      </w:r>
      <w:r w:rsidR="00EE3E44">
        <w:t>-</w:t>
      </w:r>
      <w:r w:rsidRPr="00D5144B">
        <w:t>market</w:t>
      </w:r>
      <w:r>
        <w:t xml:space="preserve"> product</w:t>
      </w:r>
      <w:r w:rsidRPr="00D5144B">
        <w:t xml:space="preserve">s can range from </w:t>
      </w:r>
      <w:r>
        <w:t xml:space="preserve">compost for </w:t>
      </w:r>
      <w:r w:rsidRPr="00D5144B">
        <w:t>local farmers us</w:t>
      </w:r>
      <w:r>
        <w:t>e</w:t>
      </w:r>
      <w:r w:rsidRPr="00D5144B">
        <w:t xml:space="preserve"> to </w:t>
      </w:r>
      <w:r>
        <w:t>fuel products and plastic pellets for recycled content products</w:t>
      </w:r>
      <w:r w:rsidRPr="00D5144B">
        <w:t xml:space="preserve">. </w:t>
      </w:r>
    </w:p>
    <w:p w14:paraId="4685EABC" w14:textId="54FF2DC6" w:rsidR="006C3D5A" w:rsidRPr="00D5144B" w:rsidRDefault="006C3D5A" w:rsidP="00530CF3">
      <w:pPr>
        <w:pStyle w:val="ListParagraph"/>
        <w:numPr>
          <w:ilvl w:val="0"/>
          <w:numId w:val="9"/>
        </w:numPr>
      </w:pPr>
      <w:r w:rsidRPr="00B35B52">
        <w:rPr>
          <w:b/>
          <w:u w:val="single"/>
        </w:rPr>
        <w:t xml:space="preserve">Education and </w:t>
      </w:r>
      <w:r>
        <w:rPr>
          <w:b/>
          <w:u w:val="single"/>
        </w:rPr>
        <w:t>Outreach</w:t>
      </w:r>
      <w:r w:rsidRPr="00B35B52">
        <w:rPr>
          <w:b/>
          <w:u w:val="single"/>
        </w:rPr>
        <w:t>:</w:t>
      </w:r>
      <w:r w:rsidRPr="00B35B52">
        <w:rPr>
          <w:b/>
        </w:rPr>
        <w:t xml:space="preserve"> </w:t>
      </w:r>
      <w:r w:rsidRPr="00D5144B">
        <w:t xml:space="preserve">The existing programs, tools, marketing channels, and materials used to promote recycling, composting, and waste reduction in the </w:t>
      </w:r>
      <w:r w:rsidR="00EA10AB">
        <w:t>region</w:t>
      </w:r>
      <w:r w:rsidRPr="00D5144B">
        <w:t xml:space="preserve">. </w:t>
      </w:r>
    </w:p>
    <w:p w14:paraId="1A8B018B" w14:textId="4A0AA3F8" w:rsidR="006C3D5A" w:rsidRPr="00D5144B" w:rsidRDefault="006C3D5A" w:rsidP="00530CF3">
      <w:pPr>
        <w:pStyle w:val="ListParagraph"/>
        <w:numPr>
          <w:ilvl w:val="0"/>
          <w:numId w:val="9"/>
        </w:numPr>
      </w:pPr>
      <w:r w:rsidRPr="00B35B52">
        <w:rPr>
          <w:b/>
          <w:u w:val="single"/>
        </w:rPr>
        <w:t>Supporting Policies:</w:t>
      </w:r>
      <w:r w:rsidRPr="00B35B52">
        <w:rPr>
          <w:b/>
        </w:rPr>
        <w:t xml:space="preserve"> </w:t>
      </w:r>
      <w:r w:rsidRPr="00D5144B">
        <w:t>Municipal and county codes</w:t>
      </w:r>
      <w:r>
        <w:t xml:space="preserve">, </w:t>
      </w:r>
      <w:r w:rsidR="00A80B5B">
        <w:t>fees,</w:t>
      </w:r>
      <w:r w:rsidRPr="00D5144B">
        <w:t xml:space="preserve"> and ordinances as well as state-level laws or initiatives that </w:t>
      </w:r>
      <w:r>
        <w:t>s</w:t>
      </w:r>
      <w:r w:rsidRPr="00D5144B">
        <w:t xml:space="preserve">upport increased </w:t>
      </w:r>
      <w:r>
        <w:t xml:space="preserve">value capture and landfill </w:t>
      </w:r>
      <w:r w:rsidRPr="00D5144B">
        <w:t xml:space="preserve">diversion. </w:t>
      </w:r>
    </w:p>
    <w:p w14:paraId="61C703C4" w14:textId="1542F4A5" w:rsidR="006C3D5A" w:rsidRPr="00D5144B" w:rsidRDefault="006C3D5A" w:rsidP="00530CF3">
      <w:pPr>
        <w:pStyle w:val="ListParagraph"/>
        <w:numPr>
          <w:ilvl w:val="0"/>
          <w:numId w:val="9"/>
        </w:numPr>
      </w:pPr>
      <w:r w:rsidRPr="00B35B52">
        <w:rPr>
          <w:b/>
          <w:u w:val="single"/>
        </w:rPr>
        <w:t xml:space="preserve">Public Private </w:t>
      </w:r>
      <w:r w:rsidRPr="00617E3F">
        <w:rPr>
          <w:b/>
          <w:u w:val="single"/>
        </w:rPr>
        <w:t>Partnerships:</w:t>
      </w:r>
      <w:r w:rsidRPr="00B35B52">
        <w:rPr>
          <w:b/>
        </w:rPr>
        <w:t xml:space="preserve"> </w:t>
      </w:r>
      <w:r>
        <w:t>Agreements and financing approaches that leverage the human resources and financial capital of the private sector to assist local governments with recycling system and infrastructure projects.</w:t>
      </w:r>
      <w:r w:rsidRPr="00D5144B">
        <w:t xml:space="preserve"> </w:t>
      </w:r>
    </w:p>
    <w:p w14:paraId="2AE860FA" w14:textId="040FF907" w:rsidR="006C3D5A" w:rsidRDefault="006C3D5A" w:rsidP="00530CF3"/>
    <w:p w14:paraId="42F27C1F" w14:textId="56473585" w:rsidR="00577AC6" w:rsidRDefault="00DD30EF" w:rsidP="00DD30EF">
      <w:pPr>
        <w:pStyle w:val="Subtitle"/>
      </w:pPr>
      <w:bookmarkStart w:id="64" w:name="_Toc117000329"/>
      <w:bookmarkStart w:id="65" w:name="_Toc117001052"/>
      <w:r>
        <w:rPr>
          <w:noProof/>
        </w:rPr>
        <w:drawing>
          <wp:anchor distT="0" distB="0" distL="114300" distR="114300" simplePos="0" relativeHeight="251658249" behindDoc="0" locked="0" layoutInCell="1" allowOverlap="1" wp14:anchorId="31D695C9" wp14:editId="0ED313EE">
            <wp:simplePos x="0" y="0"/>
            <wp:positionH relativeFrom="margin">
              <wp:posOffset>5716270</wp:posOffset>
            </wp:positionH>
            <wp:positionV relativeFrom="paragraph">
              <wp:posOffset>190832</wp:posOffset>
            </wp:positionV>
            <wp:extent cx="786130" cy="1132840"/>
            <wp:effectExtent l="0" t="0" r="1270" b="0"/>
            <wp:wrapSquare wrapText="bothSides"/>
            <wp:docPr id="937051278" name="Picture 93705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51278" name="Picture 937051278"/>
                    <pic:cNvPicPr/>
                  </pic:nvPicPr>
                  <pic:blipFill>
                    <a:blip r:embed="rId30">
                      <a:extLst>
                        <a:ext uri="{28A0092B-C50C-407E-A947-70E740481C1C}">
                          <a14:useLocalDpi xmlns:a14="http://schemas.microsoft.com/office/drawing/2010/main" val="0"/>
                        </a:ext>
                      </a:extLst>
                    </a:blip>
                    <a:stretch>
                      <a:fillRect/>
                    </a:stretch>
                  </pic:blipFill>
                  <pic:spPr>
                    <a:xfrm>
                      <a:off x="0" y="0"/>
                      <a:ext cx="786130" cy="1132840"/>
                    </a:xfrm>
                    <a:prstGeom prst="rect">
                      <a:avLst/>
                    </a:prstGeom>
                  </pic:spPr>
                </pic:pic>
              </a:graphicData>
            </a:graphic>
            <wp14:sizeRelH relativeFrom="page">
              <wp14:pctWidth>0</wp14:pctWidth>
            </wp14:sizeRelH>
            <wp14:sizeRelV relativeFrom="page">
              <wp14:pctHeight>0</wp14:pctHeight>
            </wp14:sizeRelV>
          </wp:anchor>
        </w:drawing>
      </w:r>
      <w:r w:rsidR="00577AC6" w:rsidRPr="5FB45BB2">
        <w:t>Summary</w:t>
      </w:r>
      <w:bookmarkEnd w:id="64"/>
      <w:bookmarkEnd w:id="65"/>
    </w:p>
    <w:p w14:paraId="6B908A20" w14:textId="5627B5E2" w:rsidR="00577AC6" w:rsidRDefault="00577AC6" w:rsidP="00577AC6">
      <w:pPr>
        <w:pStyle w:val="NoSpacing"/>
        <w:rPr>
          <w:rFonts w:eastAsia="Times New Roman" w:cs="Segoe UI"/>
          <w:color w:val="3A3737" w:themeColor="text1"/>
        </w:rPr>
      </w:pPr>
    </w:p>
    <w:p w14:paraId="6A11F3A5" w14:textId="5A81CA6D" w:rsidR="00766A32" w:rsidRPr="00CE24F5" w:rsidRDefault="00577AC6" w:rsidP="003845C5">
      <w:pPr>
        <w:pStyle w:val="NoSpacing"/>
        <w:rPr>
          <w:rFonts w:ascii="Verdana" w:eastAsia="Tw Cen MT" w:hAnsi="Verdana" w:cs="Tw Cen MT"/>
          <w:color w:val="3A3737" w:themeColor="text1"/>
          <w:sz w:val="20"/>
          <w:szCs w:val="18"/>
        </w:rPr>
      </w:pPr>
      <w:r w:rsidRPr="00CE24F5">
        <w:rPr>
          <w:rFonts w:ascii="Verdana" w:hAnsi="Verdana"/>
          <w:color w:val="3A3737" w:themeColor="text1"/>
          <w:sz w:val="20"/>
          <w:szCs w:val="18"/>
        </w:rPr>
        <w:t xml:space="preserve">Each key area has several components or categories of best practices that have been identified by the project team over nearly four decades in the industry. </w:t>
      </w:r>
      <w:r w:rsidR="00A852DB" w:rsidRPr="00CE24F5">
        <w:rPr>
          <w:rFonts w:ascii="Verdana" w:hAnsi="Verdana"/>
          <w:color w:val="3A3737" w:themeColor="text1"/>
          <w:sz w:val="20"/>
          <w:szCs w:val="18"/>
        </w:rPr>
        <w:t>RRS</w:t>
      </w:r>
      <w:r w:rsidRPr="00CE24F5">
        <w:rPr>
          <w:rFonts w:ascii="Verdana" w:hAnsi="Verdana"/>
          <w:color w:val="3A3737" w:themeColor="text1"/>
          <w:sz w:val="20"/>
          <w:szCs w:val="18"/>
        </w:rPr>
        <w:t xml:space="preserve"> utilized Harvey balls to represent relative uptake scores for each of the best practices (range from best (</w:t>
      </w:r>
      <w:r w:rsidRPr="00CE24F5">
        <w:rPr>
          <w:rFonts w:ascii="Verdana" w:eastAsia="Lucida Sans Unicode" w:hAnsi="Verdana" w:cs="Arial"/>
          <w:color w:val="3A3737" w:themeColor="text1"/>
          <w:sz w:val="20"/>
          <w:szCs w:val="18"/>
        </w:rPr>
        <w:t>●)</w:t>
      </w:r>
      <w:r w:rsidRPr="00CE24F5">
        <w:rPr>
          <w:rFonts w:ascii="Verdana" w:eastAsia="Lucida Sans Unicode" w:hAnsi="Verdana" w:cs="Lucida Sans Unicode"/>
          <w:color w:val="3A3737" w:themeColor="text1"/>
          <w:sz w:val="20"/>
          <w:szCs w:val="18"/>
        </w:rPr>
        <w:t xml:space="preserve"> </w:t>
      </w:r>
      <w:r w:rsidRPr="00CE24F5">
        <w:rPr>
          <w:rFonts w:ascii="Verdana" w:hAnsi="Verdana"/>
          <w:color w:val="3A3737" w:themeColor="text1"/>
          <w:sz w:val="20"/>
          <w:szCs w:val="18"/>
        </w:rPr>
        <w:t>to worst (</w:t>
      </w:r>
      <w:r w:rsidRPr="00CE24F5">
        <w:rPr>
          <w:rFonts w:ascii="Arial" w:eastAsia="Lucida Sans Unicode" w:hAnsi="Arial" w:cs="Arial"/>
          <w:color w:val="3A3737" w:themeColor="text1"/>
          <w:sz w:val="20"/>
          <w:szCs w:val="18"/>
        </w:rPr>
        <w:t>◌</w:t>
      </w:r>
      <w:r w:rsidRPr="00CE24F5">
        <w:rPr>
          <w:rFonts w:ascii="Verdana" w:hAnsi="Verdana"/>
          <w:color w:val="3A3737" w:themeColor="text1"/>
          <w:sz w:val="20"/>
          <w:szCs w:val="18"/>
        </w:rPr>
        <w:t xml:space="preserve">) on the </w:t>
      </w:r>
      <w:r w:rsidR="00B23AD0" w:rsidRPr="00CE24F5">
        <w:rPr>
          <w:rFonts w:ascii="Verdana" w:hAnsi="Verdana"/>
          <w:color w:val="3A3737" w:themeColor="text1"/>
          <w:sz w:val="20"/>
          <w:szCs w:val="18"/>
        </w:rPr>
        <w:t>region</w:t>
      </w:r>
      <w:r w:rsidRPr="00CE24F5">
        <w:rPr>
          <w:rFonts w:ascii="Verdana" w:hAnsi="Verdana"/>
          <w:color w:val="3A3737" w:themeColor="text1"/>
          <w:sz w:val="20"/>
          <w:szCs w:val="18"/>
        </w:rPr>
        <w:t xml:space="preserve">’s relative uptake). </w:t>
      </w:r>
      <w:r w:rsidRPr="00CE24F5">
        <w:rPr>
          <w:rFonts w:ascii="Verdana" w:eastAsia="Tw Cen MT" w:hAnsi="Verdana" w:cs="Tw Cen MT"/>
          <w:color w:val="3A3737" w:themeColor="text1"/>
          <w:sz w:val="20"/>
          <w:szCs w:val="18"/>
        </w:rPr>
        <w:t xml:space="preserve">The </w:t>
      </w:r>
      <w:r w:rsidR="00F52100" w:rsidRPr="00CE24F5">
        <w:rPr>
          <w:rFonts w:ascii="Verdana" w:eastAsia="Tw Cen MT" w:hAnsi="Verdana" w:cs="Tw Cen MT"/>
          <w:color w:val="3A3737" w:themeColor="text1"/>
          <w:sz w:val="20"/>
          <w:szCs w:val="18"/>
        </w:rPr>
        <w:t>system assessment</w:t>
      </w:r>
      <w:r w:rsidRPr="00CE24F5">
        <w:rPr>
          <w:rFonts w:ascii="Verdana" w:eastAsia="Tw Cen MT" w:hAnsi="Verdana" w:cs="Tw Cen MT"/>
          <w:color w:val="3A3737" w:themeColor="text1"/>
          <w:sz w:val="20"/>
          <w:szCs w:val="18"/>
        </w:rPr>
        <w:t xml:space="preserve"> summary is presented in below.</w:t>
      </w:r>
    </w:p>
    <w:p w14:paraId="2DEC226F" w14:textId="77777777" w:rsidR="00EA0AD1" w:rsidRDefault="0094339D" w:rsidP="00530CF3">
      <w:pPr>
        <w:sectPr w:rsidR="00EA0AD1" w:rsidSect="00837C3D">
          <w:headerReference w:type="even" r:id="rId31"/>
          <w:headerReference w:type="default" r:id="rId32"/>
          <w:footerReference w:type="even" r:id="rId33"/>
          <w:footerReference w:type="default" r:id="rId34"/>
          <w:footerReference w:type="first" r:id="rId35"/>
          <w:pgSz w:w="12240" w:h="15840"/>
          <w:pgMar w:top="1584" w:right="720" w:bottom="1008" w:left="1008" w:header="0" w:footer="0" w:gutter="0"/>
          <w:cols w:space="720"/>
          <w:docGrid w:linePitch="360"/>
        </w:sectPr>
      </w:pPr>
      <w:bookmarkStart w:id="66" w:name="_Toc40453266"/>
      <w:r>
        <w:br w:type="page"/>
      </w:r>
    </w:p>
    <w:p w14:paraId="502FDC84" w14:textId="4278BD31" w:rsidR="00466B00" w:rsidRDefault="00466B00" w:rsidP="00466B00">
      <w:pPr>
        <w:pStyle w:val="Caption"/>
        <w:keepNext/>
      </w:pPr>
      <w:r>
        <w:t xml:space="preserve">Figure </w:t>
      </w:r>
      <w:r w:rsidR="00E9026D">
        <w:fldChar w:fldCharType="begin"/>
      </w:r>
      <w:r w:rsidR="00E9026D">
        <w:instrText xml:space="preserve"> SEQ Figure \* ARABIC </w:instrText>
      </w:r>
      <w:r w:rsidR="00E9026D">
        <w:fldChar w:fldCharType="separate"/>
      </w:r>
      <w:r>
        <w:rPr>
          <w:noProof/>
        </w:rPr>
        <w:t>11</w:t>
      </w:r>
      <w:r w:rsidR="00E9026D">
        <w:rPr>
          <w:noProof/>
        </w:rPr>
        <w:fldChar w:fldCharType="end"/>
      </w:r>
      <w:r>
        <w:t xml:space="preserve"> System Assessment Summary</w:t>
      </w:r>
    </w:p>
    <w:tbl>
      <w:tblPr>
        <w:tblW w:w="10350" w:type="dxa"/>
        <w:tblLook w:val="04A0" w:firstRow="1" w:lastRow="0" w:firstColumn="1" w:lastColumn="0" w:noHBand="0" w:noVBand="1"/>
      </w:tblPr>
      <w:tblGrid>
        <w:gridCol w:w="1008"/>
        <w:gridCol w:w="4032"/>
        <w:gridCol w:w="428"/>
        <w:gridCol w:w="1008"/>
        <w:gridCol w:w="3874"/>
      </w:tblGrid>
      <w:tr w:rsidR="009203BF" w:rsidRPr="009203BF" w14:paraId="53CA5132" w14:textId="77777777" w:rsidTr="00DD30EF">
        <w:trPr>
          <w:trHeight w:val="300"/>
        </w:trPr>
        <w:tc>
          <w:tcPr>
            <w:tcW w:w="5040" w:type="dxa"/>
            <w:gridSpan w:val="2"/>
            <w:tcBorders>
              <w:top w:val="nil"/>
              <w:left w:val="nil"/>
              <w:bottom w:val="single" w:sz="4" w:space="0" w:color="auto"/>
              <w:right w:val="nil"/>
            </w:tcBorders>
            <w:shd w:val="clear" w:color="auto" w:fill="auto"/>
            <w:noWrap/>
            <w:hideMark/>
          </w:tcPr>
          <w:p w14:paraId="613BD80E" w14:textId="77777777" w:rsidR="009203BF" w:rsidRPr="00DD30EF" w:rsidRDefault="009203BF" w:rsidP="00530CF3">
            <w:pPr>
              <w:rPr>
                <w:rFonts w:ascii="Georgia" w:hAnsi="Georgia"/>
                <w:b/>
                <w:bCs/>
              </w:rPr>
            </w:pPr>
            <w:bookmarkStart w:id="67" w:name="RANGE!B3:F32"/>
            <w:r w:rsidRPr="00DD30EF">
              <w:rPr>
                <w:rFonts w:ascii="Georgia" w:hAnsi="Georgia"/>
                <w:b/>
                <w:bCs/>
              </w:rPr>
              <w:t>COLLECTION</w:t>
            </w:r>
            <w:bookmarkEnd w:id="67"/>
          </w:p>
        </w:tc>
        <w:tc>
          <w:tcPr>
            <w:tcW w:w="428" w:type="dxa"/>
            <w:tcBorders>
              <w:top w:val="nil"/>
              <w:left w:val="nil"/>
              <w:bottom w:val="nil"/>
              <w:right w:val="nil"/>
            </w:tcBorders>
            <w:shd w:val="clear" w:color="auto" w:fill="auto"/>
            <w:noWrap/>
            <w:vAlign w:val="bottom"/>
            <w:hideMark/>
          </w:tcPr>
          <w:p w14:paraId="4FDC750A" w14:textId="77777777" w:rsidR="009203BF" w:rsidRPr="009203BF" w:rsidRDefault="009203BF" w:rsidP="00530CF3"/>
        </w:tc>
        <w:tc>
          <w:tcPr>
            <w:tcW w:w="4882" w:type="dxa"/>
            <w:gridSpan w:val="2"/>
            <w:tcBorders>
              <w:top w:val="nil"/>
              <w:left w:val="nil"/>
              <w:bottom w:val="single" w:sz="4" w:space="0" w:color="auto"/>
              <w:right w:val="nil"/>
            </w:tcBorders>
            <w:shd w:val="clear" w:color="auto" w:fill="auto"/>
            <w:noWrap/>
            <w:hideMark/>
          </w:tcPr>
          <w:p w14:paraId="5782E64F" w14:textId="77777777" w:rsidR="009203BF" w:rsidRPr="00DD30EF" w:rsidRDefault="009203BF" w:rsidP="00123F5D">
            <w:pPr>
              <w:jc w:val="center"/>
              <w:rPr>
                <w:rFonts w:ascii="Georgia" w:hAnsi="Georgia"/>
                <w:b/>
                <w:bCs/>
              </w:rPr>
            </w:pPr>
            <w:r w:rsidRPr="00DD30EF">
              <w:rPr>
                <w:rFonts w:ascii="Georgia" w:hAnsi="Georgia"/>
                <w:b/>
                <w:bCs/>
              </w:rPr>
              <w:t>EDUCATION &amp; OUTREACH</w:t>
            </w:r>
          </w:p>
        </w:tc>
      </w:tr>
      <w:tr w:rsidR="009203BF" w:rsidRPr="009203BF" w14:paraId="5A442A2E" w14:textId="77777777" w:rsidTr="00A5561D">
        <w:trPr>
          <w:trHeight w:val="312"/>
        </w:trPr>
        <w:tc>
          <w:tcPr>
            <w:tcW w:w="1008" w:type="dxa"/>
            <w:tcBorders>
              <w:top w:val="single" w:sz="4" w:space="0" w:color="auto"/>
              <w:left w:val="single" w:sz="8" w:space="0" w:color="FFFFFF"/>
              <w:bottom w:val="single" w:sz="8" w:space="0" w:color="FFFFFF"/>
              <w:right w:val="single" w:sz="8" w:space="0" w:color="FFFFFF"/>
            </w:tcBorders>
            <w:shd w:val="clear" w:color="auto" w:fill="1D666E" w:themeFill="accent1"/>
            <w:vAlign w:val="center"/>
            <w:hideMark/>
          </w:tcPr>
          <w:p w14:paraId="1399C59B" w14:textId="519A926E" w:rsidR="009203BF" w:rsidRPr="00DD30EF" w:rsidRDefault="00353A9F" w:rsidP="00DD30EF">
            <w:pPr>
              <w:jc w:val="center"/>
              <w:rPr>
                <w:color w:val="FFFFFF" w:themeColor="background1"/>
              </w:rPr>
            </w:pPr>
            <w:r w:rsidRPr="00DD30EF">
              <w:rPr>
                <w:color w:val="FFFFFF" w:themeColor="background1"/>
              </w:rPr>
              <w:t>Uptake</w:t>
            </w:r>
          </w:p>
        </w:tc>
        <w:tc>
          <w:tcPr>
            <w:tcW w:w="4032" w:type="dxa"/>
            <w:tcBorders>
              <w:top w:val="single" w:sz="4" w:space="0" w:color="auto"/>
              <w:left w:val="nil"/>
              <w:bottom w:val="single" w:sz="8" w:space="0" w:color="FFFFFF"/>
              <w:right w:val="single" w:sz="8" w:space="0" w:color="FFFFFF"/>
            </w:tcBorders>
            <w:shd w:val="clear" w:color="auto" w:fill="1D666E" w:themeFill="accent1"/>
            <w:vAlign w:val="center"/>
            <w:hideMark/>
          </w:tcPr>
          <w:p w14:paraId="0D3E8801" w14:textId="6E13A795" w:rsidR="009203BF" w:rsidRPr="00DD30EF" w:rsidRDefault="00353A9F" w:rsidP="00530CF3">
            <w:pPr>
              <w:rPr>
                <w:color w:val="FFFFFF" w:themeColor="background1"/>
              </w:rPr>
            </w:pPr>
            <w:r w:rsidRPr="00DD30EF">
              <w:rPr>
                <w:color w:val="FFFFFF" w:themeColor="background1"/>
              </w:rPr>
              <w:t>Category</w:t>
            </w:r>
          </w:p>
        </w:tc>
        <w:tc>
          <w:tcPr>
            <w:tcW w:w="428" w:type="dxa"/>
            <w:tcBorders>
              <w:top w:val="nil"/>
              <w:left w:val="nil"/>
              <w:bottom w:val="nil"/>
              <w:right w:val="nil"/>
            </w:tcBorders>
            <w:shd w:val="clear" w:color="auto" w:fill="auto"/>
            <w:noWrap/>
            <w:vAlign w:val="bottom"/>
            <w:hideMark/>
          </w:tcPr>
          <w:p w14:paraId="32F446C9" w14:textId="77777777" w:rsidR="009203BF" w:rsidRPr="009203BF" w:rsidRDefault="009203BF" w:rsidP="00530CF3"/>
        </w:tc>
        <w:tc>
          <w:tcPr>
            <w:tcW w:w="1008" w:type="dxa"/>
            <w:tcBorders>
              <w:top w:val="single" w:sz="4" w:space="0" w:color="auto"/>
              <w:left w:val="single" w:sz="8" w:space="0" w:color="FFFFFF"/>
              <w:bottom w:val="single" w:sz="8" w:space="0" w:color="FFFFFF"/>
              <w:right w:val="single" w:sz="8" w:space="0" w:color="FFFFFF"/>
            </w:tcBorders>
            <w:shd w:val="clear" w:color="auto" w:fill="1D666E" w:themeFill="accent1"/>
            <w:vAlign w:val="center"/>
            <w:hideMark/>
          </w:tcPr>
          <w:p w14:paraId="604C5E3D" w14:textId="72C285C4" w:rsidR="009203BF" w:rsidRPr="00DD30EF" w:rsidRDefault="00353A9F" w:rsidP="00123F5D">
            <w:pPr>
              <w:jc w:val="center"/>
              <w:rPr>
                <w:color w:val="FFFFFF" w:themeColor="background1"/>
              </w:rPr>
            </w:pPr>
            <w:r>
              <w:rPr>
                <w:color w:val="FFFFFF" w:themeColor="background1"/>
              </w:rPr>
              <w:t>Uptake</w:t>
            </w:r>
          </w:p>
        </w:tc>
        <w:tc>
          <w:tcPr>
            <w:tcW w:w="3874" w:type="dxa"/>
            <w:tcBorders>
              <w:top w:val="single" w:sz="4" w:space="0" w:color="auto"/>
              <w:left w:val="nil"/>
              <w:bottom w:val="single" w:sz="8" w:space="0" w:color="FFFFFF"/>
              <w:right w:val="single" w:sz="8" w:space="0" w:color="FFFFFF"/>
            </w:tcBorders>
            <w:shd w:val="clear" w:color="auto" w:fill="1D666E" w:themeFill="accent1"/>
            <w:vAlign w:val="center"/>
            <w:hideMark/>
          </w:tcPr>
          <w:p w14:paraId="6CC84677" w14:textId="35CB546D" w:rsidR="009203BF" w:rsidRPr="00DD30EF" w:rsidRDefault="00353A9F" w:rsidP="00123F5D">
            <w:pPr>
              <w:jc w:val="center"/>
              <w:rPr>
                <w:color w:val="FFFFFF" w:themeColor="background1"/>
              </w:rPr>
            </w:pPr>
            <w:r w:rsidRPr="00DD30EF">
              <w:rPr>
                <w:color w:val="FFFFFF" w:themeColor="background1"/>
              </w:rPr>
              <w:t>Category</w:t>
            </w:r>
          </w:p>
        </w:tc>
      </w:tr>
      <w:tr w:rsidR="009203BF" w:rsidRPr="009203BF" w14:paraId="68B4C9BC" w14:textId="77777777" w:rsidTr="00DD30EF">
        <w:trPr>
          <w:trHeight w:val="300"/>
        </w:trPr>
        <w:tc>
          <w:tcPr>
            <w:tcW w:w="1008" w:type="dxa"/>
            <w:tcBorders>
              <w:top w:val="nil"/>
              <w:left w:val="single" w:sz="8" w:space="0" w:color="FFFFFF"/>
              <w:bottom w:val="single" w:sz="8" w:space="0" w:color="FFFFFF"/>
              <w:right w:val="single" w:sz="8" w:space="0" w:color="FFFFFF"/>
            </w:tcBorders>
            <w:shd w:val="clear" w:color="000000" w:fill="E0E0E0"/>
            <w:vAlign w:val="center"/>
            <w:hideMark/>
          </w:tcPr>
          <w:p w14:paraId="041316BC" w14:textId="77777777" w:rsidR="009203BF" w:rsidRPr="009203BF" w:rsidRDefault="009203BF" w:rsidP="00DD30EF">
            <w:pPr>
              <w:jc w:val="center"/>
            </w:pPr>
            <w:r w:rsidRPr="009203BF">
              <w:rPr>
                <w:rFonts w:ascii="Segoe UI Symbol" w:hAnsi="Segoe UI Symbol" w:cs="Segoe UI Symbol"/>
              </w:rPr>
              <w:t>◕</w:t>
            </w:r>
          </w:p>
        </w:tc>
        <w:tc>
          <w:tcPr>
            <w:tcW w:w="4032" w:type="dxa"/>
            <w:tcBorders>
              <w:top w:val="nil"/>
              <w:left w:val="nil"/>
              <w:bottom w:val="single" w:sz="8" w:space="0" w:color="FFFFFF"/>
              <w:right w:val="single" w:sz="8" w:space="0" w:color="FFFFFF"/>
            </w:tcBorders>
            <w:shd w:val="clear" w:color="000000" w:fill="F2F2F2"/>
            <w:vAlign w:val="center"/>
            <w:hideMark/>
          </w:tcPr>
          <w:p w14:paraId="6B5BCC9D" w14:textId="77777777" w:rsidR="009203BF" w:rsidRPr="009203BF" w:rsidRDefault="009203BF" w:rsidP="00530CF3">
            <w:r w:rsidRPr="009203BF">
              <w:t xml:space="preserve">Multi-family Programming </w:t>
            </w:r>
          </w:p>
        </w:tc>
        <w:tc>
          <w:tcPr>
            <w:tcW w:w="428" w:type="dxa"/>
            <w:tcBorders>
              <w:top w:val="nil"/>
              <w:left w:val="nil"/>
              <w:bottom w:val="nil"/>
              <w:right w:val="nil"/>
            </w:tcBorders>
            <w:shd w:val="clear" w:color="auto" w:fill="auto"/>
            <w:noWrap/>
            <w:vAlign w:val="bottom"/>
            <w:hideMark/>
          </w:tcPr>
          <w:p w14:paraId="3BC58438" w14:textId="77777777" w:rsidR="009203BF" w:rsidRPr="009203BF" w:rsidRDefault="009203BF" w:rsidP="00530CF3"/>
        </w:tc>
        <w:tc>
          <w:tcPr>
            <w:tcW w:w="1008" w:type="dxa"/>
            <w:tcBorders>
              <w:top w:val="nil"/>
              <w:left w:val="single" w:sz="8" w:space="0" w:color="FFFFFF"/>
              <w:bottom w:val="single" w:sz="8" w:space="0" w:color="FFFFFF"/>
              <w:right w:val="single" w:sz="8" w:space="0" w:color="FFFFFF"/>
            </w:tcBorders>
            <w:shd w:val="clear" w:color="000000" w:fill="E0E0E0"/>
            <w:vAlign w:val="center"/>
            <w:hideMark/>
          </w:tcPr>
          <w:p w14:paraId="236E2273" w14:textId="77777777" w:rsidR="009203BF" w:rsidRPr="009203BF" w:rsidRDefault="009203BF" w:rsidP="00123F5D">
            <w:pPr>
              <w:jc w:val="center"/>
            </w:pPr>
            <w:r w:rsidRPr="009203BF">
              <w:rPr>
                <w:rFonts w:ascii="Segoe UI Symbol" w:hAnsi="Segoe UI Symbol" w:cs="Segoe UI Symbol"/>
              </w:rPr>
              <w:t>◔</w:t>
            </w:r>
          </w:p>
        </w:tc>
        <w:tc>
          <w:tcPr>
            <w:tcW w:w="3874" w:type="dxa"/>
            <w:tcBorders>
              <w:top w:val="nil"/>
              <w:left w:val="nil"/>
              <w:bottom w:val="single" w:sz="8" w:space="0" w:color="FFFFFF"/>
              <w:right w:val="single" w:sz="8" w:space="0" w:color="FFFFFF"/>
            </w:tcBorders>
            <w:shd w:val="clear" w:color="000000" w:fill="F2F2F2"/>
            <w:vAlign w:val="center"/>
            <w:hideMark/>
          </w:tcPr>
          <w:p w14:paraId="532C61E7" w14:textId="77777777" w:rsidR="009203BF" w:rsidRPr="009203BF" w:rsidRDefault="009203BF" w:rsidP="00123F5D">
            <w:pPr>
              <w:jc w:val="center"/>
            </w:pPr>
            <w:r w:rsidRPr="009203BF">
              <w:t>Website with Educational Materials</w:t>
            </w:r>
          </w:p>
        </w:tc>
      </w:tr>
      <w:tr w:rsidR="009203BF" w:rsidRPr="009203BF" w14:paraId="5B1ECAA4" w14:textId="77777777" w:rsidTr="00DD30EF">
        <w:trPr>
          <w:trHeight w:val="300"/>
        </w:trPr>
        <w:tc>
          <w:tcPr>
            <w:tcW w:w="1008" w:type="dxa"/>
            <w:tcBorders>
              <w:top w:val="nil"/>
              <w:left w:val="single" w:sz="8" w:space="0" w:color="FFFFFF"/>
              <w:bottom w:val="nil"/>
              <w:right w:val="single" w:sz="8" w:space="0" w:color="FFFFFF"/>
            </w:tcBorders>
            <w:shd w:val="clear" w:color="000000" w:fill="E0E0E0"/>
            <w:vAlign w:val="center"/>
            <w:hideMark/>
          </w:tcPr>
          <w:p w14:paraId="7AAC23EF" w14:textId="7FE80254" w:rsidR="009203BF" w:rsidRPr="009203BF" w:rsidRDefault="007B3BCE" w:rsidP="00DD30EF">
            <w:pPr>
              <w:jc w:val="center"/>
            </w:pPr>
            <w:r w:rsidRPr="007B3BCE">
              <w:rPr>
                <w:noProof/>
                <w:sz w:val="32"/>
                <w:szCs w:val="32"/>
              </w:rPr>
              <w:t>●</w:t>
            </w:r>
          </w:p>
        </w:tc>
        <w:tc>
          <w:tcPr>
            <w:tcW w:w="4032" w:type="dxa"/>
            <w:tcBorders>
              <w:top w:val="nil"/>
              <w:left w:val="nil"/>
              <w:bottom w:val="nil"/>
              <w:right w:val="single" w:sz="8" w:space="0" w:color="FFFFFF"/>
            </w:tcBorders>
            <w:shd w:val="clear" w:color="000000" w:fill="F2F2F2"/>
            <w:vAlign w:val="center"/>
            <w:hideMark/>
          </w:tcPr>
          <w:p w14:paraId="38EB8495" w14:textId="77777777" w:rsidR="009203BF" w:rsidRPr="009203BF" w:rsidRDefault="009203BF" w:rsidP="00530CF3">
            <w:r w:rsidRPr="009203BF">
              <w:t>Collection Containers</w:t>
            </w:r>
          </w:p>
        </w:tc>
        <w:tc>
          <w:tcPr>
            <w:tcW w:w="428" w:type="dxa"/>
            <w:tcBorders>
              <w:top w:val="nil"/>
              <w:left w:val="nil"/>
              <w:bottom w:val="nil"/>
              <w:right w:val="nil"/>
            </w:tcBorders>
            <w:shd w:val="clear" w:color="auto" w:fill="auto"/>
            <w:noWrap/>
            <w:vAlign w:val="bottom"/>
            <w:hideMark/>
          </w:tcPr>
          <w:p w14:paraId="3E4A0C3D" w14:textId="77777777" w:rsidR="009203BF" w:rsidRPr="009203BF" w:rsidRDefault="009203BF" w:rsidP="00530CF3"/>
        </w:tc>
        <w:tc>
          <w:tcPr>
            <w:tcW w:w="1008" w:type="dxa"/>
            <w:tcBorders>
              <w:top w:val="nil"/>
              <w:left w:val="single" w:sz="8" w:space="0" w:color="FFFFFF"/>
              <w:bottom w:val="single" w:sz="8" w:space="0" w:color="FFFFFF"/>
              <w:right w:val="single" w:sz="8" w:space="0" w:color="FFFFFF"/>
            </w:tcBorders>
            <w:shd w:val="clear" w:color="000000" w:fill="E0E0E0"/>
            <w:vAlign w:val="center"/>
            <w:hideMark/>
          </w:tcPr>
          <w:p w14:paraId="39C45E45" w14:textId="77777777" w:rsidR="009203BF" w:rsidRPr="009203BF" w:rsidRDefault="009203BF" w:rsidP="00123F5D">
            <w:pPr>
              <w:jc w:val="center"/>
            </w:pPr>
            <w:r w:rsidRPr="009203BF">
              <w:rPr>
                <w:rFonts w:ascii="Segoe UI Symbol" w:hAnsi="Segoe UI Symbol" w:cs="Segoe UI Symbol"/>
              </w:rPr>
              <w:t>◑</w:t>
            </w:r>
          </w:p>
        </w:tc>
        <w:tc>
          <w:tcPr>
            <w:tcW w:w="3874" w:type="dxa"/>
            <w:tcBorders>
              <w:top w:val="nil"/>
              <w:left w:val="nil"/>
              <w:bottom w:val="single" w:sz="8" w:space="0" w:color="FFFFFF"/>
              <w:right w:val="single" w:sz="8" w:space="0" w:color="FFFFFF"/>
            </w:tcBorders>
            <w:shd w:val="clear" w:color="000000" w:fill="F2F2F2"/>
            <w:vAlign w:val="center"/>
            <w:hideMark/>
          </w:tcPr>
          <w:p w14:paraId="3D615C4D" w14:textId="77777777" w:rsidR="009203BF" w:rsidRPr="009203BF" w:rsidRDefault="009203BF" w:rsidP="00123F5D">
            <w:pPr>
              <w:jc w:val="center"/>
            </w:pPr>
            <w:r w:rsidRPr="009203BF">
              <w:t>General Outreach</w:t>
            </w:r>
          </w:p>
        </w:tc>
      </w:tr>
      <w:tr w:rsidR="009203BF" w:rsidRPr="009203BF" w14:paraId="252688E8" w14:textId="77777777" w:rsidTr="00DD30EF">
        <w:trPr>
          <w:trHeight w:val="300"/>
        </w:trPr>
        <w:tc>
          <w:tcPr>
            <w:tcW w:w="1008" w:type="dxa"/>
            <w:tcBorders>
              <w:top w:val="single" w:sz="8" w:space="0" w:color="FFFFFF"/>
              <w:left w:val="single" w:sz="8" w:space="0" w:color="FFFFFF"/>
              <w:bottom w:val="nil"/>
              <w:right w:val="single" w:sz="8" w:space="0" w:color="FFFFFF"/>
            </w:tcBorders>
            <w:shd w:val="clear" w:color="000000" w:fill="E0E0E0"/>
            <w:vAlign w:val="center"/>
            <w:hideMark/>
          </w:tcPr>
          <w:p w14:paraId="4750D928" w14:textId="77777777" w:rsidR="009203BF" w:rsidRPr="009203BF" w:rsidRDefault="009203BF" w:rsidP="00DD30EF">
            <w:pPr>
              <w:jc w:val="center"/>
            </w:pPr>
            <w:r w:rsidRPr="009203BF">
              <w:rPr>
                <w:rFonts w:ascii="Segoe UI Symbol" w:hAnsi="Segoe UI Symbol" w:cs="Segoe UI Symbol"/>
              </w:rPr>
              <w:t>◑</w:t>
            </w:r>
          </w:p>
        </w:tc>
        <w:tc>
          <w:tcPr>
            <w:tcW w:w="4032" w:type="dxa"/>
            <w:tcBorders>
              <w:top w:val="single" w:sz="8" w:space="0" w:color="FFFFFF"/>
              <w:left w:val="nil"/>
              <w:bottom w:val="nil"/>
              <w:right w:val="single" w:sz="8" w:space="0" w:color="FFFFFF"/>
            </w:tcBorders>
            <w:shd w:val="clear" w:color="000000" w:fill="F2F2F2"/>
            <w:vAlign w:val="center"/>
            <w:hideMark/>
          </w:tcPr>
          <w:p w14:paraId="03A7BCBC" w14:textId="77777777" w:rsidR="009203BF" w:rsidRPr="009203BF" w:rsidRDefault="009203BF" w:rsidP="00530CF3">
            <w:r w:rsidRPr="009203BF">
              <w:t xml:space="preserve">Commercial Programming </w:t>
            </w:r>
          </w:p>
        </w:tc>
        <w:tc>
          <w:tcPr>
            <w:tcW w:w="428" w:type="dxa"/>
            <w:tcBorders>
              <w:top w:val="nil"/>
              <w:left w:val="nil"/>
              <w:bottom w:val="nil"/>
              <w:right w:val="nil"/>
            </w:tcBorders>
            <w:shd w:val="clear" w:color="auto" w:fill="auto"/>
            <w:noWrap/>
            <w:vAlign w:val="bottom"/>
            <w:hideMark/>
          </w:tcPr>
          <w:p w14:paraId="55002CAC" w14:textId="77777777" w:rsidR="009203BF" w:rsidRPr="009203BF" w:rsidRDefault="009203BF" w:rsidP="00530CF3"/>
        </w:tc>
        <w:tc>
          <w:tcPr>
            <w:tcW w:w="1008" w:type="dxa"/>
            <w:tcBorders>
              <w:top w:val="nil"/>
              <w:left w:val="single" w:sz="8" w:space="0" w:color="FFFFFF"/>
              <w:bottom w:val="single" w:sz="8" w:space="0" w:color="FFFFFF"/>
              <w:right w:val="single" w:sz="8" w:space="0" w:color="FFFFFF"/>
            </w:tcBorders>
            <w:shd w:val="clear" w:color="000000" w:fill="E0E0E0"/>
            <w:vAlign w:val="center"/>
            <w:hideMark/>
          </w:tcPr>
          <w:p w14:paraId="02BE9B0E" w14:textId="77777777" w:rsidR="009203BF" w:rsidRPr="009203BF" w:rsidRDefault="009203BF" w:rsidP="00123F5D">
            <w:pPr>
              <w:jc w:val="center"/>
            </w:pPr>
            <w:r w:rsidRPr="009203BF">
              <w:rPr>
                <w:rFonts w:ascii="Segoe UI Symbol" w:hAnsi="Segoe UI Symbol" w:cs="Segoe UI Symbol"/>
              </w:rPr>
              <w:t>◔</w:t>
            </w:r>
          </w:p>
        </w:tc>
        <w:tc>
          <w:tcPr>
            <w:tcW w:w="3874" w:type="dxa"/>
            <w:tcBorders>
              <w:top w:val="nil"/>
              <w:left w:val="nil"/>
              <w:bottom w:val="single" w:sz="8" w:space="0" w:color="FFFFFF"/>
              <w:right w:val="single" w:sz="8" w:space="0" w:color="FFFFFF"/>
            </w:tcBorders>
            <w:shd w:val="clear" w:color="000000" w:fill="F2F2F2"/>
            <w:vAlign w:val="center"/>
            <w:hideMark/>
          </w:tcPr>
          <w:p w14:paraId="654F1005" w14:textId="77777777" w:rsidR="009203BF" w:rsidRPr="009203BF" w:rsidRDefault="009203BF" w:rsidP="00123F5D">
            <w:pPr>
              <w:jc w:val="center"/>
            </w:pPr>
            <w:r w:rsidRPr="009203BF">
              <w:t>Use of RecycleCT.com Resources</w:t>
            </w:r>
          </w:p>
        </w:tc>
      </w:tr>
      <w:tr w:rsidR="009203BF" w:rsidRPr="009203BF" w14:paraId="1623167E" w14:textId="77777777" w:rsidTr="00DD30EF">
        <w:trPr>
          <w:trHeight w:val="300"/>
        </w:trPr>
        <w:tc>
          <w:tcPr>
            <w:tcW w:w="1008" w:type="dxa"/>
            <w:tcBorders>
              <w:top w:val="nil"/>
              <w:left w:val="single" w:sz="8" w:space="0" w:color="FFFFFF"/>
              <w:bottom w:val="single" w:sz="8" w:space="0" w:color="FFFFFF"/>
              <w:right w:val="single" w:sz="8" w:space="0" w:color="FFFFFF"/>
            </w:tcBorders>
            <w:shd w:val="clear" w:color="000000" w:fill="E0E0E0"/>
            <w:vAlign w:val="center"/>
            <w:hideMark/>
          </w:tcPr>
          <w:p w14:paraId="525EE4C7" w14:textId="77777777" w:rsidR="009203BF" w:rsidRPr="009203BF" w:rsidRDefault="009203BF" w:rsidP="00DD30EF">
            <w:pPr>
              <w:jc w:val="center"/>
            </w:pPr>
            <w:r w:rsidRPr="009203BF">
              <w:rPr>
                <w:rFonts w:ascii="Segoe UI Symbol" w:hAnsi="Segoe UI Symbol" w:cs="Segoe UI Symbol"/>
              </w:rPr>
              <w:t>◕</w:t>
            </w:r>
          </w:p>
        </w:tc>
        <w:tc>
          <w:tcPr>
            <w:tcW w:w="4032" w:type="dxa"/>
            <w:tcBorders>
              <w:top w:val="nil"/>
              <w:left w:val="nil"/>
              <w:bottom w:val="single" w:sz="8" w:space="0" w:color="FFFFFF"/>
              <w:right w:val="single" w:sz="8" w:space="0" w:color="FFFFFF"/>
            </w:tcBorders>
            <w:shd w:val="clear" w:color="000000" w:fill="F2F2F2"/>
            <w:vAlign w:val="center"/>
            <w:hideMark/>
          </w:tcPr>
          <w:p w14:paraId="1D7B7E7C" w14:textId="77777777" w:rsidR="009203BF" w:rsidRPr="009203BF" w:rsidRDefault="009203BF" w:rsidP="00530CF3">
            <w:r w:rsidRPr="009203BF">
              <w:t>Drop-offs</w:t>
            </w:r>
          </w:p>
        </w:tc>
        <w:tc>
          <w:tcPr>
            <w:tcW w:w="428" w:type="dxa"/>
            <w:tcBorders>
              <w:top w:val="nil"/>
              <w:left w:val="nil"/>
              <w:bottom w:val="nil"/>
              <w:right w:val="nil"/>
            </w:tcBorders>
            <w:shd w:val="clear" w:color="auto" w:fill="auto"/>
            <w:noWrap/>
            <w:vAlign w:val="bottom"/>
            <w:hideMark/>
          </w:tcPr>
          <w:p w14:paraId="25B02CDF" w14:textId="77777777" w:rsidR="009203BF" w:rsidRPr="009203BF" w:rsidRDefault="009203BF" w:rsidP="00530CF3"/>
        </w:tc>
        <w:tc>
          <w:tcPr>
            <w:tcW w:w="1008" w:type="dxa"/>
            <w:tcBorders>
              <w:top w:val="nil"/>
              <w:left w:val="single" w:sz="8" w:space="0" w:color="FFFFFF"/>
              <w:bottom w:val="single" w:sz="8" w:space="0" w:color="FFFFFF"/>
              <w:right w:val="single" w:sz="8" w:space="0" w:color="FFFFFF"/>
            </w:tcBorders>
            <w:shd w:val="clear" w:color="000000" w:fill="E0E0E0"/>
            <w:vAlign w:val="center"/>
            <w:hideMark/>
          </w:tcPr>
          <w:p w14:paraId="72B627F9" w14:textId="77777777" w:rsidR="009203BF" w:rsidRPr="009203BF" w:rsidRDefault="009203BF" w:rsidP="00123F5D">
            <w:pPr>
              <w:jc w:val="center"/>
            </w:pPr>
            <w:r w:rsidRPr="009203BF">
              <w:rPr>
                <w:rFonts w:ascii="Segoe UI Symbol" w:hAnsi="Segoe UI Symbol" w:cs="Segoe UI Symbol"/>
              </w:rPr>
              <w:t>◔</w:t>
            </w:r>
          </w:p>
        </w:tc>
        <w:tc>
          <w:tcPr>
            <w:tcW w:w="3874" w:type="dxa"/>
            <w:tcBorders>
              <w:top w:val="nil"/>
              <w:left w:val="nil"/>
              <w:bottom w:val="single" w:sz="8" w:space="0" w:color="FFFFFF"/>
              <w:right w:val="single" w:sz="8" w:space="0" w:color="FFFFFF"/>
            </w:tcBorders>
            <w:shd w:val="clear" w:color="000000" w:fill="F2F2F2"/>
            <w:vAlign w:val="center"/>
            <w:hideMark/>
          </w:tcPr>
          <w:p w14:paraId="512867CD" w14:textId="77777777" w:rsidR="009203BF" w:rsidRPr="009203BF" w:rsidRDefault="009203BF" w:rsidP="00123F5D">
            <w:pPr>
              <w:jc w:val="center"/>
            </w:pPr>
            <w:r w:rsidRPr="009203BF">
              <w:t>Regional Standardization</w:t>
            </w:r>
          </w:p>
        </w:tc>
      </w:tr>
      <w:tr w:rsidR="009203BF" w:rsidRPr="009203BF" w14:paraId="28DDD8D4" w14:textId="77777777" w:rsidTr="00DD30EF">
        <w:trPr>
          <w:trHeight w:val="300"/>
        </w:trPr>
        <w:tc>
          <w:tcPr>
            <w:tcW w:w="1008" w:type="dxa"/>
            <w:tcBorders>
              <w:top w:val="nil"/>
              <w:left w:val="single" w:sz="8" w:space="0" w:color="FFFFFF"/>
              <w:bottom w:val="single" w:sz="8" w:space="0" w:color="FFFFFF"/>
              <w:right w:val="single" w:sz="8" w:space="0" w:color="FFFFFF"/>
            </w:tcBorders>
            <w:shd w:val="clear" w:color="000000" w:fill="E0E0E0"/>
            <w:vAlign w:val="center"/>
            <w:hideMark/>
          </w:tcPr>
          <w:p w14:paraId="5B228C48" w14:textId="77777777" w:rsidR="009203BF" w:rsidRPr="009203BF" w:rsidRDefault="009203BF" w:rsidP="00DD30EF">
            <w:pPr>
              <w:jc w:val="center"/>
            </w:pPr>
            <w:r w:rsidRPr="009203BF">
              <w:rPr>
                <w:rFonts w:ascii="Segoe UI Symbol" w:hAnsi="Segoe UI Symbol" w:cs="Segoe UI Symbol"/>
              </w:rPr>
              <w:t>◕</w:t>
            </w:r>
          </w:p>
        </w:tc>
        <w:tc>
          <w:tcPr>
            <w:tcW w:w="4032" w:type="dxa"/>
            <w:tcBorders>
              <w:top w:val="nil"/>
              <w:left w:val="nil"/>
              <w:bottom w:val="single" w:sz="8" w:space="0" w:color="FFFFFF"/>
              <w:right w:val="single" w:sz="8" w:space="0" w:color="FFFFFF"/>
            </w:tcBorders>
            <w:shd w:val="clear" w:color="000000" w:fill="F2F2F2"/>
            <w:vAlign w:val="center"/>
            <w:hideMark/>
          </w:tcPr>
          <w:p w14:paraId="576C7BF3" w14:textId="77777777" w:rsidR="009203BF" w:rsidRPr="009203BF" w:rsidRDefault="009203BF" w:rsidP="00530CF3">
            <w:r w:rsidRPr="009203BF">
              <w:t>Single Family Recycling Access</w:t>
            </w:r>
          </w:p>
        </w:tc>
        <w:tc>
          <w:tcPr>
            <w:tcW w:w="428" w:type="dxa"/>
            <w:tcBorders>
              <w:top w:val="nil"/>
              <w:left w:val="nil"/>
              <w:bottom w:val="nil"/>
              <w:right w:val="nil"/>
            </w:tcBorders>
            <w:shd w:val="clear" w:color="auto" w:fill="auto"/>
            <w:noWrap/>
            <w:vAlign w:val="bottom"/>
            <w:hideMark/>
          </w:tcPr>
          <w:p w14:paraId="77DBF24A" w14:textId="77777777" w:rsidR="009203BF" w:rsidRPr="009203BF" w:rsidRDefault="009203BF" w:rsidP="00530CF3"/>
        </w:tc>
        <w:tc>
          <w:tcPr>
            <w:tcW w:w="1008" w:type="dxa"/>
            <w:tcBorders>
              <w:top w:val="nil"/>
              <w:left w:val="single" w:sz="8" w:space="0" w:color="FFFFFF"/>
              <w:bottom w:val="single" w:sz="8" w:space="0" w:color="FFFFFF"/>
              <w:right w:val="single" w:sz="8" w:space="0" w:color="FFFFFF"/>
            </w:tcBorders>
            <w:shd w:val="clear" w:color="000000" w:fill="E0E0E0"/>
            <w:vAlign w:val="center"/>
            <w:hideMark/>
          </w:tcPr>
          <w:p w14:paraId="4BEAF8FE" w14:textId="77777777" w:rsidR="009203BF" w:rsidRPr="009203BF" w:rsidRDefault="009203BF" w:rsidP="00123F5D">
            <w:pPr>
              <w:jc w:val="center"/>
            </w:pPr>
            <w:r w:rsidRPr="009203BF">
              <w:rPr>
                <w:rFonts w:ascii="Segoe UI Symbol" w:hAnsi="Segoe UI Symbol" w:cs="Segoe UI Symbol"/>
              </w:rPr>
              <w:t>◔</w:t>
            </w:r>
          </w:p>
        </w:tc>
        <w:tc>
          <w:tcPr>
            <w:tcW w:w="3874" w:type="dxa"/>
            <w:tcBorders>
              <w:top w:val="nil"/>
              <w:left w:val="nil"/>
              <w:bottom w:val="single" w:sz="8" w:space="0" w:color="FFFFFF"/>
              <w:right w:val="single" w:sz="8" w:space="0" w:color="FFFFFF"/>
            </w:tcBorders>
            <w:shd w:val="clear" w:color="000000" w:fill="F2F2F2"/>
            <w:vAlign w:val="center"/>
            <w:hideMark/>
          </w:tcPr>
          <w:p w14:paraId="105F08B6" w14:textId="77777777" w:rsidR="009203BF" w:rsidRPr="009203BF" w:rsidRDefault="009203BF" w:rsidP="00123F5D">
            <w:pPr>
              <w:jc w:val="center"/>
            </w:pPr>
            <w:r w:rsidRPr="009203BF">
              <w:t>Governmental Leadership</w:t>
            </w:r>
          </w:p>
        </w:tc>
      </w:tr>
      <w:tr w:rsidR="009203BF" w:rsidRPr="009203BF" w14:paraId="0445BE19" w14:textId="77777777" w:rsidTr="00DD30EF">
        <w:trPr>
          <w:trHeight w:val="300"/>
        </w:trPr>
        <w:tc>
          <w:tcPr>
            <w:tcW w:w="1008" w:type="dxa"/>
            <w:tcBorders>
              <w:top w:val="nil"/>
              <w:left w:val="single" w:sz="8" w:space="0" w:color="FFFFFF"/>
              <w:bottom w:val="single" w:sz="8" w:space="0" w:color="FFFFFF"/>
              <w:right w:val="single" w:sz="8" w:space="0" w:color="FFFFFF"/>
            </w:tcBorders>
            <w:shd w:val="clear" w:color="000000" w:fill="E0E0E0"/>
            <w:vAlign w:val="center"/>
            <w:hideMark/>
          </w:tcPr>
          <w:p w14:paraId="61D40505" w14:textId="77777777" w:rsidR="009203BF" w:rsidRPr="009203BF" w:rsidRDefault="009203BF" w:rsidP="00DD30EF">
            <w:pPr>
              <w:jc w:val="center"/>
            </w:pPr>
            <w:r w:rsidRPr="009203BF">
              <w:rPr>
                <w:rFonts w:ascii="Segoe UI Symbol" w:hAnsi="Segoe UI Symbol" w:cs="Segoe UI Symbol"/>
              </w:rPr>
              <w:t>◑</w:t>
            </w:r>
          </w:p>
        </w:tc>
        <w:tc>
          <w:tcPr>
            <w:tcW w:w="4032" w:type="dxa"/>
            <w:tcBorders>
              <w:top w:val="nil"/>
              <w:left w:val="nil"/>
              <w:bottom w:val="single" w:sz="8" w:space="0" w:color="FFFFFF"/>
              <w:right w:val="single" w:sz="8" w:space="0" w:color="FFFFFF"/>
            </w:tcBorders>
            <w:shd w:val="clear" w:color="000000" w:fill="F2F2F2"/>
            <w:vAlign w:val="center"/>
            <w:hideMark/>
          </w:tcPr>
          <w:p w14:paraId="1DD18003" w14:textId="77777777" w:rsidR="009203BF" w:rsidRPr="009203BF" w:rsidRDefault="009203BF" w:rsidP="00530CF3">
            <w:r w:rsidRPr="009203BF">
              <w:t>Weekly Collection of Recyclables</w:t>
            </w:r>
          </w:p>
        </w:tc>
        <w:tc>
          <w:tcPr>
            <w:tcW w:w="428" w:type="dxa"/>
            <w:tcBorders>
              <w:top w:val="nil"/>
              <w:left w:val="nil"/>
              <w:bottom w:val="nil"/>
              <w:right w:val="nil"/>
            </w:tcBorders>
            <w:shd w:val="clear" w:color="auto" w:fill="auto"/>
            <w:noWrap/>
            <w:vAlign w:val="bottom"/>
            <w:hideMark/>
          </w:tcPr>
          <w:p w14:paraId="0928BBD9" w14:textId="77777777" w:rsidR="009203BF" w:rsidRPr="009203BF" w:rsidRDefault="009203BF" w:rsidP="00530CF3"/>
        </w:tc>
        <w:tc>
          <w:tcPr>
            <w:tcW w:w="1008" w:type="dxa"/>
            <w:tcBorders>
              <w:top w:val="nil"/>
              <w:left w:val="single" w:sz="8" w:space="0" w:color="FFFFFF"/>
              <w:bottom w:val="single" w:sz="8" w:space="0" w:color="FFFFFF"/>
              <w:right w:val="single" w:sz="8" w:space="0" w:color="FFFFFF"/>
            </w:tcBorders>
            <w:shd w:val="clear" w:color="000000" w:fill="E0E0E0"/>
            <w:vAlign w:val="center"/>
            <w:hideMark/>
          </w:tcPr>
          <w:p w14:paraId="7ABB359E" w14:textId="77777777" w:rsidR="009203BF" w:rsidRPr="009203BF" w:rsidRDefault="009203BF" w:rsidP="00123F5D">
            <w:pPr>
              <w:jc w:val="center"/>
            </w:pPr>
            <w:r w:rsidRPr="009203BF">
              <w:rPr>
                <w:rFonts w:ascii="Segoe UI Symbol" w:hAnsi="Segoe UI Symbol" w:cs="Segoe UI Symbol"/>
              </w:rPr>
              <w:t>◔</w:t>
            </w:r>
          </w:p>
        </w:tc>
        <w:tc>
          <w:tcPr>
            <w:tcW w:w="3874" w:type="dxa"/>
            <w:tcBorders>
              <w:top w:val="nil"/>
              <w:left w:val="nil"/>
              <w:bottom w:val="single" w:sz="8" w:space="0" w:color="FFFFFF"/>
              <w:right w:val="single" w:sz="8" w:space="0" w:color="FFFFFF"/>
            </w:tcBorders>
            <w:shd w:val="clear" w:color="000000" w:fill="F2F2F2"/>
            <w:vAlign w:val="center"/>
            <w:hideMark/>
          </w:tcPr>
          <w:p w14:paraId="7B04DAAB" w14:textId="77777777" w:rsidR="009203BF" w:rsidRPr="009203BF" w:rsidRDefault="009203BF" w:rsidP="00123F5D">
            <w:pPr>
              <w:jc w:val="center"/>
            </w:pPr>
            <w:r w:rsidRPr="009203BF">
              <w:t>K-12 Programs</w:t>
            </w:r>
          </w:p>
        </w:tc>
      </w:tr>
      <w:tr w:rsidR="009203BF" w:rsidRPr="009203BF" w14:paraId="719B97FC" w14:textId="77777777" w:rsidTr="00DD30EF">
        <w:trPr>
          <w:trHeight w:val="300"/>
        </w:trPr>
        <w:tc>
          <w:tcPr>
            <w:tcW w:w="1008" w:type="dxa"/>
            <w:tcBorders>
              <w:top w:val="nil"/>
              <w:left w:val="single" w:sz="8" w:space="0" w:color="FFFFFF"/>
              <w:bottom w:val="single" w:sz="8" w:space="0" w:color="FFFFFF"/>
              <w:right w:val="single" w:sz="8" w:space="0" w:color="FFFFFF"/>
            </w:tcBorders>
            <w:shd w:val="clear" w:color="000000" w:fill="E0E0E0"/>
            <w:vAlign w:val="center"/>
            <w:hideMark/>
          </w:tcPr>
          <w:p w14:paraId="029A6ED2" w14:textId="77777777" w:rsidR="009203BF" w:rsidRPr="009203BF" w:rsidRDefault="009203BF" w:rsidP="00DD30EF">
            <w:pPr>
              <w:jc w:val="center"/>
            </w:pPr>
            <w:r w:rsidRPr="009203BF">
              <w:rPr>
                <w:rFonts w:ascii="Segoe UI Symbol" w:hAnsi="Segoe UI Symbol" w:cs="Segoe UI Symbol"/>
              </w:rPr>
              <w:t>◑</w:t>
            </w:r>
          </w:p>
        </w:tc>
        <w:tc>
          <w:tcPr>
            <w:tcW w:w="4032" w:type="dxa"/>
            <w:tcBorders>
              <w:top w:val="nil"/>
              <w:left w:val="nil"/>
              <w:bottom w:val="single" w:sz="8" w:space="0" w:color="FFFFFF"/>
              <w:right w:val="single" w:sz="8" w:space="0" w:color="FFFFFF"/>
            </w:tcBorders>
            <w:shd w:val="clear" w:color="000000" w:fill="F2F2F2"/>
            <w:vAlign w:val="center"/>
            <w:hideMark/>
          </w:tcPr>
          <w:p w14:paraId="799A286E" w14:textId="77777777" w:rsidR="009203BF" w:rsidRPr="009203BF" w:rsidRDefault="009203BF" w:rsidP="00530CF3">
            <w:r w:rsidRPr="009203BF">
              <w:t>Yard waste Programming</w:t>
            </w:r>
          </w:p>
        </w:tc>
        <w:tc>
          <w:tcPr>
            <w:tcW w:w="428" w:type="dxa"/>
            <w:tcBorders>
              <w:top w:val="nil"/>
              <w:left w:val="nil"/>
              <w:bottom w:val="nil"/>
              <w:right w:val="nil"/>
            </w:tcBorders>
            <w:shd w:val="clear" w:color="auto" w:fill="auto"/>
            <w:noWrap/>
            <w:vAlign w:val="bottom"/>
            <w:hideMark/>
          </w:tcPr>
          <w:p w14:paraId="2A0E025E" w14:textId="77777777" w:rsidR="009203BF" w:rsidRPr="009203BF" w:rsidRDefault="009203BF" w:rsidP="00530CF3"/>
        </w:tc>
        <w:tc>
          <w:tcPr>
            <w:tcW w:w="1008" w:type="dxa"/>
            <w:tcBorders>
              <w:top w:val="nil"/>
              <w:left w:val="single" w:sz="8" w:space="0" w:color="FFFFFF"/>
              <w:bottom w:val="nil"/>
              <w:right w:val="single" w:sz="8" w:space="0" w:color="FFFFFF"/>
            </w:tcBorders>
            <w:shd w:val="clear" w:color="000000" w:fill="E0E0E0"/>
            <w:vAlign w:val="center"/>
            <w:hideMark/>
          </w:tcPr>
          <w:p w14:paraId="767DAB09" w14:textId="77777777" w:rsidR="009203BF" w:rsidRPr="009203BF" w:rsidRDefault="009203BF" w:rsidP="00123F5D">
            <w:pPr>
              <w:jc w:val="center"/>
            </w:pPr>
            <w:r w:rsidRPr="009203BF">
              <w:rPr>
                <w:rFonts w:ascii="Segoe UI Symbol" w:hAnsi="Segoe UI Symbol" w:cs="Segoe UI Symbol"/>
              </w:rPr>
              <w:t>◔</w:t>
            </w:r>
          </w:p>
        </w:tc>
        <w:tc>
          <w:tcPr>
            <w:tcW w:w="3874" w:type="dxa"/>
            <w:tcBorders>
              <w:top w:val="nil"/>
              <w:left w:val="nil"/>
              <w:bottom w:val="nil"/>
              <w:right w:val="single" w:sz="8" w:space="0" w:color="FFFFFF"/>
            </w:tcBorders>
            <w:shd w:val="clear" w:color="000000" w:fill="F2F2F2"/>
            <w:vAlign w:val="center"/>
            <w:hideMark/>
          </w:tcPr>
          <w:p w14:paraId="4E175EC5" w14:textId="77777777" w:rsidR="009203BF" w:rsidRPr="009203BF" w:rsidRDefault="009203BF" w:rsidP="00123F5D">
            <w:pPr>
              <w:jc w:val="center"/>
            </w:pPr>
            <w:r w:rsidRPr="009203BF">
              <w:t>Commercial and Multi-Family</w:t>
            </w:r>
          </w:p>
        </w:tc>
      </w:tr>
      <w:tr w:rsidR="009203BF" w:rsidRPr="009203BF" w14:paraId="1C17B4A7" w14:textId="77777777" w:rsidTr="00DD30EF">
        <w:trPr>
          <w:trHeight w:val="300"/>
        </w:trPr>
        <w:tc>
          <w:tcPr>
            <w:tcW w:w="1008" w:type="dxa"/>
            <w:tcBorders>
              <w:top w:val="nil"/>
              <w:left w:val="single" w:sz="8" w:space="0" w:color="FFFFFF"/>
              <w:bottom w:val="single" w:sz="8" w:space="0" w:color="FFFFFF"/>
              <w:right w:val="single" w:sz="8" w:space="0" w:color="FFFFFF"/>
            </w:tcBorders>
            <w:shd w:val="clear" w:color="000000" w:fill="E0E0E0"/>
            <w:vAlign w:val="center"/>
            <w:hideMark/>
          </w:tcPr>
          <w:p w14:paraId="79229861" w14:textId="77777777" w:rsidR="009203BF" w:rsidRPr="009203BF" w:rsidRDefault="009203BF" w:rsidP="00DD30EF">
            <w:pPr>
              <w:jc w:val="center"/>
            </w:pPr>
            <w:r w:rsidRPr="009203BF">
              <w:rPr>
                <w:rFonts w:ascii="Segoe UI Symbol" w:hAnsi="Segoe UI Symbol" w:cs="Segoe UI Symbol"/>
              </w:rPr>
              <w:t>◔</w:t>
            </w:r>
          </w:p>
        </w:tc>
        <w:tc>
          <w:tcPr>
            <w:tcW w:w="4032" w:type="dxa"/>
            <w:tcBorders>
              <w:top w:val="nil"/>
              <w:left w:val="nil"/>
              <w:bottom w:val="single" w:sz="8" w:space="0" w:color="FFFFFF"/>
              <w:right w:val="single" w:sz="8" w:space="0" w:color="FFFFFF"/>
            </w:tcBorders>
            <w:shd w:val="clear" w:color="000000" w:fill="F2F2F2"/>
            <w:vAlign w:val="center"/>
            <w:hideMark/>
          </w:tcPr>
          <w:p w14:paraId="3F3CA891" w14:textId="77777777" w:rsidR="009203BF" w:rsidRPr="009203BF" w:rsidRDefault="009203BF" w:rsidP="00530CF3">
            <w:r w:rsidRPr="009203BF">
              <w:t>Residential Food Scrap Collection</w:t>
            </w:r>
          </w:p>
        </w:tc>
        <w:tc>
          <w:tcPr>
            <w:tcW w:w="428" w:type="dxa"/>
            <w:tcBorders>
              <w:top w:val="nil"/>
              <w:left w:val="nil"/>
              <w:bottom w:val="nil"/>
              <w:right w:val="nil"/>
            </w:tcBorders>
            <w:shd w:val="clear" w:color="auto" w:fill="auto"/>
            <w:noWrap/>
            <w:vAlign w:val="bottom"/>
            <w:hideMark/>
          </w:tcPr>
          <w:p w14:paraId="151B88BD" w14:textId="77777777" w:rsidR="009203BF" w:rsidRPr="009203BF" w:rsidRDefault="009203BF" w:rsidP="00530CF3"/>
        </w:tc>
        <w:tc>
          <w:tcPr>
            <w:tcW w:w="1008" w:type="dxa"/>
            <w:tcBorders>
              <w:top w:val="nil"/>
              <w:left w:val="single" w:sz="8" w:space="0" w:color="FFFFFF"/>
              <w:bottom w:val="single" w:sz="8" w:space="0" w:color="FFFFFF"/>
              <w:right w:val="single" w:sz="8" w:space="0" w:color="FFFFFF"/>
            </w:tcBorders>
            <w:shd w:val="clear" w:color="000000" w:fill="E0E0E0"/>
            <w:vAlign w:val="center"/>
            <w:hideMark/>
          </w:tcPr>
          <w:p w14:paraId="5C5967C4" w14:textId="77777777" w:rsidR="009203BF" w:rsidRPr="009203BF" w:rsidRDefault="009203BF" w:rsidP="00123F5D">
            <w:pPr>
              <w:jc w:val="center"/>
            </w:pPr>
            <w:r w:rsidRPr="009203BF">
              <w:rPr>
                <w:rFonts w:ascii="Segoe UI Symbol" w:hAnsi="Segoe UI Symbol" w:cs="Segoe UI Symbol"/>
              </w:rPr>
              <w:t>◕</w:t>
            </w:r>
          </w:p>
        </w:tc>
        <w:tc>
          <w:tcPr>
            <w:tcW w:w="3874" w:type="dxa"/>
            <w:tcBorders>
              <w:top w:val="nil"/>
              <w:left w:val="nil"/>
              <w:bottom w:val="single" w:sz="8" w:space="0" w:color="FFFFFF"/>
              <w:right w:val="single" w:sz="8" w:space="0" w:color="FFFFFF"/>
            </w:tcBorders>
            <w:shd w:val="clear" w:color="000000" w:fill="F2F2F2"/>
            <w:vAlign w:val="center"/>
            <w:hideMark/>
          </w:tcPr>
          <w:p w14:paraId="6CEEB161" w14:textId="77777777" w:rsidR="009203BF" w:rsidRPr="009203BF" w:rsidRDefault="009203BF" w:rsidP="00123F5D">
            <w:pPr>
              <w:jc w:val="center"/>
            </w:pPr>
            <w:r w:rsidRPr="009203BF">
              <w:t>Social Marketing</w:t>
            </w:r>
          </w:p>
        </w:tc>
      </w:tr>
      <w:tr w:rsidR="009203BF" w:rsidRPr="009203BF" w14:paraId="55CFAD83" w14:textId="77777777" w:rsidTr="00DD30EF">
        <w:trPr>
          <w:trHeight w:val="300"/>
        </w:trPr>
        <w:tc>
          <w:tcPr>
            <w:tcW w:w="1008" w:type="dxa"/>
            <w:tcBorders>
              <w:top w:val="nil"/>
              <w:left w:val="single" w:sz="8" w:space="0" w:color="FFFFFF"/>
              <w:bottom w:val="single" w:sz="8" w:space="0" w:color="FFFFFF"/>
              <w:right w:val="single" w:sz="8" w:space="0" w:color="FFFFFF"/>
            </w:tcBorders>
            <w:shd w:val="clear" w:color="000000" w:fill="E0E0E0"/>
            <w:vAlign w:val="center"/>
            <w:hideMark/>
          </w:tcPr>
          <w:p w14:paraId="547A190C" w14:textId="77777777" w:rsidR="009203BF" w:rsidRPr="009203BF" w:rsidRDefault="009203BF" w:rsidP="00DD30EF">
            <w:pPr>
              <w:jc w:val="center"/>
            </w:pPr>
            <w:r w:rsidRPr="009203BF">
              <w:rPr>
                <w:rFonts w:ascii="Segoe UI Symbol" w:hAnsi="Segoe UI Symbol" w:cs="Segoe UI Symbol"/>
              </w:rPr>
              <w:t>◑</w:t>
            </w:r>
          </w:p>
        </w:tc>
        <w:tc>
          <w:tcPr>
            <w:tcW w:w="4032" w:type="dxa"/>
            <w:tcBorders>
              <w:top w:val="nil"/>
              <w:left w:val="nil"/>
              <w:bottom w:val="single" w:sz="8" w:space="0" w:color="FFFFFF"/>
              <w:right w:val="single" w:sz="8" w:space="0" w:color="FFFFFF"/>
            </w:tcBorders>
            <w:shd w:val="clear" w:color="000000" w:fill="F2F2F2"/>
            <w:vAlign w:val="center"/>
            <w:hideMark/>
          </w:tcPr>
          <w:p w14:paraId="6B1FCBE8" w14:textId="77777777" w:rsidR="009203BF" w:rsidRPr="009203BF" w:rsidRDefault="009203BF" w:rsidP="00530CF3">
            <w:r w:rsidRPr="009203BF">
              <w:t>Hard to Recycle Items</w:t>
            </w:r>
          </w:p>
        </w:tc>
        <w:tc>
          <w:tcPr>
            <w:tcW w:w="428" w:type="dxa"/>
            <w:tcBorders>
              <w:top w:val="nil"/>
              <w:left w:val="nil"/>
              <w:bottom w:val="nil"/>
              <w:right w:val="nil"/>
            </w:tcBorders>
            <w:shd w:val="clear" w:color="auto" w:fill="auto"/>
            <w:noWrap/>
            <w:vAlign w:val="bottom"/>
            <w:hideMark/>
          </w:tcPr>
          <w:p w14:paraId="3DDE685C" w14:textId="77777777" w:rsidR="009203BF" w:rsidRPr="009203BF" w:rsidRDefault="009203BF" w:rsidP="00530CF3"/>
        </w:tc>
        <w:tc>
          <w:tcPr>
            <w:tcW w:w="1008" w:type="dxa"/>
            <w:tcBorders>
              <w:top w:val="nil"/>
              <w:left w:val="single" w:sz="8" w:space="0" w:color="FFFFFF"/>
              <w:bottom w:val="single" w:sz="8" w:space="0" w:color="FFFFFF"/>
              <w:right w:val="single" w:sz="8" w:space="0" w:color="FFFFFF"/>
            </w:tcBorders>
            <w:shd w:val="clear" w:color="000000" w:fill="E0E0E0"/>
            <w:vAlign w:val="center"/>
            <w:hideMark/>
          </w:tcPr>
          <w:p w14:paraId="18566C9D" w14:textId="006B63F1" w:rsidR="009203BF" w:rsidRPr="009203BF" w:rsidRDefault="00AC794D" w:rsidP="00123F5D">
            <w:pPr>
              <w:jc w:val="center"/>
            </w:pPr>
            <w:r w:rsidRPr="00AC794D">
              <w:rPr>
                <w:rFonts w:ascii="Segoe UI Symbol" w:eastAsia="Segoe UI Symbol" w:hAnsi="Segoe UI Symbol"/>
                <w:sz w:val="16"/>
                <w:szCs w:val="15"/>
                <w:lang w:eastAsia="ja-JP"/>
              </w:rPr>
              <w:t>◯</w:t>
            </w:r>
          </w:p>
        </w:tc>
        <w:tc>
          <w:tcPr>
            <w:tcW w:w="3874" w:type="dxa"/>
            <w:tcBorders>
              <w:top w:val="nil"/>
              <w:left w:val="nil"/>
              <w:bottom w:val="single" w:sz="8" w:space="0" w:color="FFFFFF"/>
              <w:right w:val="single" w:sz="8" w:space="0" w:color="FFFFFF"/>
            </w:tcBorders>
            <w:shd w:val="clear" w:color="000000" w:fill="F2F2F2"/>
            <w:vAlign w:val="center"/>
            <w:hideMark/>
          </w:tcPr>
          <w:p w14:paraId="469178AF" w14:textId="77777777" w:rsidR="009203BF" w:rsidRPr="009203BF" w:rsidRDefault="009203BF" w:rsidP="00123F5D">
            <w:pPr>
              <w:jc w:val="center"/>
            </w:pPr>
            <w:r w:rsidRPr="009203BF">
              <w:t>Enforcement</w:t>
            </w:r>
          </w:p>
        </w:tc>
      </w:tr>
      <w:tr w:rsidR="009203BF" w:rsidRPr="009203BF" w14:paraId="44B7E9EC" w14:textId="77777777" w:rsidTr="00DD30EF">
        <w:trPr>
          <w:trHeight w:val="300"/>
        </w:trPr>
        <w:tc>
          <w:tcPr>
            <w:tcW w:w="1008" w:type="dxa"/>
            <w:tcBorders>
              <w:top w:val="nil"/>
              <w:left w:val="single" w:sz="8" w:space="0" w:color="FFFFFF"/>
              <w:bottom w:val="single" w:sz="8" w:space="0" w:color="FFFFFF"/>
              <w:right w:val="single" w:sz="8" w:space="0" w:color="FFFFFF"/>
            </w:tcBorders>
            <w:shd w:val="clear" w:color="000000" w:fill="E0E0E0"/>
            <w:vAlign w:val="center"/>
            <w:hideMark/>
          </w:tcPr>
          <w:p w14:paraId="1B404F90" w14:textId="77777777" w:rsidR="009203BF" w:rsidRPr="009203BF" w:rsidRDefault="009203BF" w:rsidP="00DD30EF">
            <w:pPr>
              <w:jc w:val="center"/>
            </w:pPr>
            <w:r w:rsidRPr="009203BF">
              <w:rPr>
                <w:rFonts w:ascii="Segoe UI Symbol" w:hAnsi="Segoe UI Symbol" w:cs="Segoe UI Symbol"/>
              </w:rPr>
              <w:t>◔</w:t>
            </w:r>
          </w:p>
        </w:tc>
        <w:tc>
          <w:tcPr>
            <w:tcW w:w="4032" w:type="dxa"/>
            <w:tcBorders>
              <w:top w:val="nil"/>
              <w:left w:val="nil"/>
              <w:bottom w:val="single" w:sz="8" w:space="0" w:color="FFFFFF"/>
              <w:right w:val="single" w:sz="8" w:space="0" w:color="FFFFFF"/>
            </w:tcBorders>
            <w:shd w:val="clear" w:color="000000" w:fill="F2F2F2"/>
            <w:vAlign w:val="center"/>
            <w:hideMark/>
          </w:tcPr>
          <w:p w14:paraId="0D38FA0B" w14:textId="77777777" w:rsidR="009203BF" w:rsidRPr="009203BF" w:rsidRDefault="009203BF" w:rsidP="00530CF3">
            <w:r w:rsidRPr="009203BF">
              <w:t xml:space="preserve">Schools &amp; Institutions </w:t>
            </w:r>
          </w:p>
        </w:tc>
        <w:tc>
          <w:tcPr>
            <w:tcW w:w="428" w:type="dxa"/>
            <w:tcBorders>
              <w:top w:val="nil"/>
              <w:left w:val="nil"/>
              <w:bottom w:val="nil"/>
              <w:right w:val="nil"/>
            </w:tcBorders>
            <w:shd w:val="clear" w:color="auto" w:fill="auto"/>
            <w:noWrap/>
            <w:vAlign w:val="bottom"/>
            <w:hideMark/>
          </w:tcPr>
          <w:p w14:paraId="5DDD2A59" w14:textId="77777777" w:rsidR="009203BF" w:rsidRPr="009203BF" w:rsidRDefault="009203BF" w:rsidP="00530CF3"/>
        </w:tc>
        <w:tc>
          <w:tcPr>
            <w:tcW w:w="1008" w:type="dxa"/>
            <w:tcBorders>
              <w:top w:val="nil"/>
              <w:left w:val="nil"/>
              <w:bottom w:val="nil"/>
              <w:right w:val="nil"/>
            </w:tcBorders>
            <w:shd w:val="clear" w:color="auto" w:fill="auto"/>
            <w:noWrap/>
            <w:vAlign w:val="bottom"/>
            <w:hideMark/>
          </w:tcPr>
          <w:p w14:paraId="08AE7493" w14:textId="77777777" w:rsidR="009203BF" w:rsidRPr="009203BF" w:rsidRDefault="009203BF" w:rsidP="00123F5D">
            <w:pPr>
              <w:jc w:val="center"/>
            </w:pPr>
          </w:p>
        </w:tc>
        <w:tc>
          <w:tcPr>
            <w:tcW w:w="3874" w:type="dxa"/>
            <w:tcBorders>
              <w:top w:val="nil"/>
              <w:left w:val="nil"/>
              <w:bottom w:val="nil"/>
              <w:right w:val="nil"/>
            </w:tcBorders>
            <w:shd w:val="clear" w:color="auto" w:fill="auto"/>
            <w:noWrap/>
            <w:vAlign w:val="bottom"/>
            <w:hideMark/>
          </w:tcPr>
          <w:p w14:paraId="27BACF85" w14:textId="77777777" w:rsidR="009203BF" w:rsidRPr="009203BF" w:rsidRDefault="009203BF" w:rsidP="00123F5D">
            <w:pPr>
              <w:jc w:val="center"/>
            </w:pPr>
          </w:p>
        </w:tc>
      </w:tr>
      <w:tr w:rsidR="009203BF" w:rsidRPr="009203BF" w14:paraId="24FE6BA1" w14:textId="77777777" w:rsidTr="00DD30EF">
        <w:trPr>
          <w:trHeight w:val="288"/>
        </w:trPr>
        <w:tc>
          <w:tcPr>
            <w:tcW w:w="1008" w:type="dxa"/>
            <w:tcBorders>
              <w:top w:val="nil"/>
              <w:left w:val="nil"/>
              <w:right w:val="nil"/>
            </w:tcBorders>
            <w:shd w:val="clear" w:color="auto" w:fill="auto"/>
            <w:noWrap/>
            <w:vAlign w:val="bottom"/>
            <w:hideMark/>
          </w:tcPr>
          <w:p w14:paraId="5E95DCF2" w14:textId="77777777" w:rsidR="009203BF" w:rsidRPr="009203BF" w:rsidRDefault="009203BF" w:rsidP="00530CF3"/>
        </w:tc>
        <w:tc>
          <w:tcPr>
            <w:tcW w:w="4032" w:type="dxa"/>
            <w:tcBorders>
              <w:top w:val="nil"/>
              <w:left w:val="nil"/>
              <w:right w:val="nil"/>
            </w:tcBorders>
            <w:shd w:val="clear" w:color="auto" w:fill="auto"/>
            <w:noWrap/>
            <w:vAlign w:val="bottom"/>
            <w:hideMark/>
          </w:tcPr>
          <w:p w14:paraId="364A246E" w14:textId="77777777" w:rsidR="009203BF" w:rsidRPr="009203BF" w:rsidRDefault="009203BF" w:rsidP="00530CF3"/>
        </w:tc>
        <w:tc>
          <w:tcPr>
            <w:tcW w:w="428" w:type="dxa"/>
            <w:tcBorders>
              <w:top w:val="nil"/>
              <w:left w:val="nil"/>
              <w:right w:val="nil"/>
            </w:tcBorders>
            <w:shd w:val="clear" w:color="auto" w:fill="auto"/>
            <w:noWrap/>
            <w:vAlign w:val="bottom"/>
            <w:hideMark/>
          </w:tcPr>
          <w:p w14:paraId="556454BE" w14:textId="77777777" w:rsidR="009203BF" w:rsidRPr="009203BF" w:rsidRDefault="009203BF" w:rsidP="00530CF3"/>
        </w:tc>
        <w:tc>
          <w:tcPr>
            <w:tcW w:w="1008" w:type="dxa"/>
            <w:tcBorders>
              <w:top w:val="nil"/>
              <w:left w:val="nil"/>
              <w:right w:val="nil"/>
            </w:tcBorders>
            <w:shd w:val="clear" w:color="auto" w:fill="auto"/>
            <w:noWrap/>
            <w:vAlign w:val="bottom"/>
            <w:hideMark/>
          </w:tcPr>
          <w:p w14:paraId="0513F37D" w14:textId="77777777" w:rsidR="009203BF" w:rsidRPr="009203BF" w:rsidRDefault="009203BF" w:rsidP="00123F5D">
            <w:pPr>
              <w:jc w:val="center"/>
            </w:pPr>
          </w:p>
        </w:tc>
        <w:tc>
          <w:tcPr>
            <w:tcW w:w="3874" w:type="dxa"/>
            <w:tcBorders>
              <w:top w:val="nil"/>
              <w:left w:val="nil"/>
              <w:right w:val="nil"/>
            </w:tcBorders>
            <w:shd w:val="clear" w:color="auto" w:fill="auto"/>
            <w:noWrap/>
            <w:vAlign w:val="bottom"/>
            <w:hideMark/>
          </w:tcPr>
          <w:p w14:paraId="6970BC8D" w14:textId="77777777" w:rsidR="009203BF" w:rsidRPr="009203BF" w:rsidRDefault="009203BF" w:rsidP="00123F5D">
            <w:pPr>
              <w:jc w:val="center"/>
            </w:pPr>
          </w:p>
        </w:tc>
      </w:tr>
      <w:tr w:rsidR="009203BF" w:rsidRPr="00DD30EF" w14:paraId="2F1E4ED5" w14:textId="77777777" w:rsidTr="00DD30EF">
        <w:trPr>
          <w:trHeight w:val="300"/>
        </w:trPr>
        <w:tc>
          <w:tcPr>
            <w:tcW w:w="5040" w:type="dxa"/>
            <w:gridSpan w:val="2"/>
            <w:tcBorders>
              <w:top w:val="nil"/>
              <w:left w:val="nil"/>
              <w:right w:val="nil"/>
            </w:tcBorders>
            <w:shd w:val="clear" w:color="auto" w:fill="auto"/>
            <w:noWrap/>
            <w:hideMark/>
          </w:tcPr>
          <w:p w14:paraId="4F73C35F" w14:textId="77777777" w:rsidR="009203BF" w:rsidRPr="00DD30EF" w:rsidRDefault="009203BF" w:rsidP="00530CF3">
            <w:pPr>
              <w:rPr>
                <w:rFonts w:ascii="Georgia" w:hAnsi="Georgia"/>
                <w:b/>
                <w:bCs/>
              </w:rPr>
            </w:pPr>
            <w:r w:rsidRPr="00DD30EF">
              <w:rPr>
                <w:rFonts w:ascii="Georgia" w:hAnsi="Georgia"/>
                <w:b/>
                <w:bCs/>
              </w:rPr>
              <w:t>PROCESSING &amp; FACILITIES</w:t>
            </w:r>
          </w:p>
        </w:tc>
        <w:tc>
          <w:tcPr>
            <w:tcW w:w="428" w:type="dxa"/>
            <w:tcBorders>
              <w:top w:val="nil"/>
              <w:left w:val="nil"/>
              <w:right w:val="nil"/>
            </w:tcBorders>
            <w:shd w:val="clear" w:color="auto" w:fill="auto"/>
            <w:noWrap/>
            <w:vAlign w:val="bottom"/>
            <w:hideMark/>
          </w:tcPr>
          <w:p w14:paraId="271B0315" w14:textId="77777777" w:rsidR="009203BF" w:rsidRPr="00DD30EF" w:rsidRDefault="009203BF" w:rsidP="00530CF3">
            <w:pPr>
              <w:rPr>
                <w:rFonts w:ascii="Georgia" w:hAnsi="Georgia"/>
                <w:b/>
                <w:bCs/>
              </w:rPr>
            </w:pPr>
          </w:p>
        </w:tc>
        <w:tc>
          <w:tcPr>
            <w:tcW w:w="4882" w:type="dxa"/>
            <w:gridSpan w:val="2"/>
            <w:tcBorders>
              <w:top w:val="nil"/>
              <w:left w:val="nil"/>
              <w:right w:val="nil"/>
            </w:tcBorders>
            <w:shd w:val="clear" w:color="auto" w:fill="auto"/>
            <w:noWrap/>
            <w:hideMark/>
          </w:tcPr>
          <w:p w14:paraId="525201DD" w14:textId="5465A8F0" w:rsidR="009203BF" w:rsidRPr="00DD30EF" w:rsidRDefault="009203BF" w:rsidP="00123F5D">
            <w:pPr>
              <w:jc w:val="center"/>
              <w:rPr>
                <w:rFonts w:ascii="Georgia" w:hAnsi="Georgia"/>
                <w:b/>
                <w:bCs/>
              </w:rPr>
            </w:pPr>
            <w:r w:rsidRPr="00DD30EF">
              <w:rPr>
                <w:rFonts w:ascii="Georgia" w:hAnsi="Georgia"/>
                <w:b/>
                <w:bCs/>
              </w:rPr>
              <w:t>END</w:t>
            </w:r>
            <w:r w:rsidR="00EE3E44">
              <w:rPr>
                <w:rFonts w:ascii="Georgia" w:hAnsi="Georgia"/>
                <w:b/>
                <w:bCs/>
              </w:rPr>
              <w:t>-</w:t>
            </w:r>
            <w:r w:rsidRPr="00DD30EF">
              <w:rPr>
                <w:rFonts w:ascii="Georgia" w:hAnsi="Georgia"/>
                <w:b/>
                <w:bCs/>
              </w:rPr>
              <w:t>MARKETS</w:t>
            </w:r>
          </w:p>
        </w:tc>
      </w:tr>
      <w:tr w:rsidR="009203BF" w:rsidRPr="009203BF" w14:paraId="41C44B65" w14:textId="77777777" w:rsidTr="00A5561D">
        <w:trPr>
          <w:trHeight w:val="312"/>
        </w:trPr>
        <w:tc>
          <w:tcPr>
            <w:tcW w:w="1008" w:type="dxa"/>
            <w:tcBorders>
              <w:left w:val="single" w:sz="8" w:space="0" w:color="FFFFFF"/>
              <w:bottom w:val="single" w:sz="8" w:space="0" w:color="FFFFFF"/>
              <w:right w:val="single" w:sz="8" w:space="0" w:color="FFFFFF"/>
            </w:tcBorders>
            <w:shd w:val="clear" w:color="auto" w:fill="1D666E" w:themeFill="accent1"/>
            <w:vAlign w:val="center"/>
            <w:hideMark/>
          </w:tcPr>
          <w:p w14:paraId="38C30929" w14:textId="4D01DC63" w:rsidR="009203BF" w:rsidRPr="00DD30EF" w:rsidRDefault="00353A9F" w:rsidP="00530CF3">
            <w:pPr>
              <w:rPr>
                <w:color w:val="FFFFFF" w:themeColor="background1"/>
              </w:rPr>
            </w:pPr>
            <w:r w:rsidRPr="00DD30EF">
              <w:rPr>
                <w:color w:val="FFFFFF" w:themeColor="background1"/>
              </w:rPr>
              <w:t>Uptake</w:t>
            </w:r>
          </w:p>
        </w:tc>
        <w:tc>
          <w:tcPr>
            <w:tcW w:w="4032" w:type="dxa"/>
            <w:tcBorders>
              <w:left w:val="nil"/>
              <w:bottom w:val="single" w:sz="8" w:space="0" w:color="FFFFFF"/>
              <w:right w:val="single" w:sz="8" w:space="0" w:color="FFFFFF"/>
            </w:tcBorders>
            <w:shd w:val="clear" w:color="auto" w:fill="1D666E" w:themeFill="accent1"/>
            <w:vAlign w:val="center"/>
            <w:hideMark/>
          </w:tcPr>
          <w:p w14:paraId="2D43442F" w14:textId="0C9CC26A" w:rsidR="009203BF" w:rsidRPr="00DD30EF" w:rsidRDefault="00353A9F" w:rsidP="00530CF3">
            <w:pPr>
              <w:rPr>
                <w:color w:val="FFFFFF" w:themeColor="background1"/>
              </w:rPr>
            </w:pPr>
            <w:r w:rsidRPr="00DD30EF">
              <w:rPr>
                <w:color w:val="FFFFFF" w:themeColor="background1"/>
              </w:rPr>
              <w:t>Category</w:t>
            </w:r>
          </w:p>
        </w:tc>
        <w:tc>
          <w:tcPr>
            <w:tcW w:w="428" w:type="dxa"/>
            <w:tcBorders>
              <w:left w:val="nil"/>
              <w:bottom w:val="nil"/>
              <w:right w:val="nil"/>
            </w:tcBorders>
            <w:shd w:val="clear" w:color="auto" w:fill="auto"/>
            <w:noWrap/>
            <w:vAlign w:val="bottom"/>
            <w:hideMark/>
          </w:tcPr>
          <w:p w14:paraId="089B9432" w14:textId="77777777" w:rsidR="009203BF" w:rsidRPr="009203BF" w:rsidRDefault="009203BF" w:rsidP="00530CF3"/>
        </w:tc>
        <w:tc>
          <w:tcPr>
            <w:tcW w:w="1008" w:type="dxa"/>
            <w:tcBorders>
              <w:left w:val="single" w:sz="8" w:space="0" w:color="FFFFFF"/>
              <w:bottom w:val="single" w:sz="8" w:space="0" w:color="FFFFFF"/>
              <w:right w:val="single" w:sz="8" w:space="0" w:color="FFFFFF"/>
            </w:tcBorders>
            <w:shd w:val="clear" w:color="auto" w:fill="1D666E" w:themeFill="accent1"/>
            <w:vAlign w:val="center"/>
            <w:hideMark/>
          </w:tcPr>
          <w:p w14:paraId="539102D4" w14:textId="11F5B440" w:rsidR="009203BF" w:rsidRPr="00DD30EF" w:rsidRDefault="00353A9F" w:rsidP="00123F5D">
            <w:pPr>
              <w:jc w:val="center"/>
              <w:rPr>
                <w:color w:val="FFFFFF" w:themeColor="background1"/>
              </w:rPr>
            </w:pPr>
            <w:r w:rsidRPr="00DD30EF">
              <w:rPr>
                <w:color w:val="FFFFFF" w:themeColor="background1"/>
              </w:rPr>
              <w:t>Uptake</w:t>
            </w:r>
          </w:p>
        </w:tc>
        <w:tc>
          <w:tcPr>
            <w:tcW w:w="3874" w:type="dxa"/>
            <w:tcBorders>
              <w:left w:val="nil"/>
              <w:bottom w:val="single" w:sz="8" w:space="0" w:color="FFFFFF"/>
              <w:right w:val="single" w:sz="8" w:space="0" w:color="FFFFFF"/>
            </w:tcBorders>
            <w:shd w:val="clear" w:color="auto" w:fill="1D666E" w:themeFill="accent1"/>
            <w:vAlign w:val="center"/>
            <w:hideMark/>
          </w:tcPr>
          <w:p w14:paraId="7D264F7C" w14:textId="0CEF288A" w:rsidR="009203BF" w:rsidRPr="00DD30EF" w:rsidRDefault="00353A9F" w:rsidP="00123F5D">
            <w:pPr>
              <w:jc w:val="center"/>
              <w:rPr>
                <w:color w:val="FFFFFF" w:themeColor="background1"/>
              </w:rPr>
            </w:pPr>
            <w:r w:rsidRPr="00DD30EF">
              <w:rPr>
                <w:color w:val="FFFFFF" w:themeColor="background1"/>
              </w:rPr>
              <w:t>Category</w:t>
            </w:r>
          </w:p>
        </w:tc>
      </w:tr>
      <w:tr w:rsidR="009203BF" w:rsidRPr="009203BF" w14:paraId="15C59FA2" w14:textId="77777777" w:rsidTr="00DD30EF">
        <w:trPr>
          <w:trHeight w:val="300"/>
        </w:trPr>
        <w:tc>
          <w:tcPr>
            <w:tcW w:w="1008" w:type="dxa"/>
            <w:tcBorders>
              <w:top w:val="nil"/>
              <w:left w:val="single" w:sz="8" w:space="0" w:color="FFFFFF"/>
              <w:bottom w:val="single" w:sz="8" w:space="0" w:color="FFFFFF"/>
              <w:right w:val="single" w:sz="8" w:space="0" w:color="FFFFFF"/>
            </w:tcBorders>
            <w:shd w:val="clear" w:color="000000" w:fill="E0E0E0"/>
            <w:vAlign w:val="center"/>
            <w:hideMark/>
          </w:tcPr>
          <w:p w14:paraId="228D4B91" w14:textId="3C4A12A5" w:rsidR="009203BF" w:rsidRPr="009203BF" w:rsidRDefault="00AC794D" w:rsidP="00DD30EF">
            <w:pPr>
              <w:jc w:val="center"/>
            </w:pPr>
            <w:r w:rsidRPr="00AC794D">
              <w:rPr>
                <w:rFonts w:ascii="Segoe UI Symbol" w:eastAsia="Segoe UI Symbol" w:hAnsi="Segoe UI Symbol"/>
                <w:sz w:val="16"/>
                <w:szCs w:val="15"/>
                <w:lang w:eastAsia="ja-JP"/>
              </w:rPr>
              <w:t>◯</w:t>
            </w:r>
          </w:p>
        </w:tc>
        <w:tc>
          <w:tcPr>
            <w:tcW w:w="4032" w:type="dxa"/>
            <w:tcBorders>
              <w:top w:val="nil"/>
              <w:left w:val="nil"/>
              <w:bottom w:val="single" w:sz="8" w:space="0" w:color="FFFFFF"/>
              <w:right w:val="single" w:sz="8" w:space="0" w:color="FFFFFF"/>
            </w:tcBorders>
            <w:shd w:val="clear" w:color="000000" w:fill="F2F2F2"/>
            <w:vAlign w:val="center"/>
            <w:hideMark/>
          </w:tcPr>
          <w:p w14:paraId="2198C668" w14:textId="77777777" w:rsidR="009203BF" w:rsidRPr="009203BF" w:rsidRDefault="009203BF" w:rsidP="00DD30EF">
            <w:pPr>
              <w:jc w:val="left"/>
            </w:pPr>
            <w:r w:rsidRPr="009203BF">
              <w:t xml:space="preserve">Advanced Solutions </w:t>
            </w:r>
          </w:p>
        </w:tc>
        <w:tc>
          <w:tcPr>
            <w:tcW w:w="428" w:type="dxa"/>
            <w:tcBorders>
              <w:top w:val="nil"/>
              <w:left w:val="nil"/>
              <w:bottom w:val="nil"/>
              <w:right w:val="nil"/>
            </w:tcBorders>
            <w:shd w:val="clear" w:color="auto" w:fill="auto"/>
            <w:noWrap/>
            <w:vAlign w:val="bottom"/>
            <w:hideMark/>
          </w:tcPr>
          <w:p w14:paraId="7D003741" w14:textId="77777777" w:rsidR="009203BF" w:rsidRPr="009203BF" w:rsidRDefault="009203BF" w:rsidP="00530CF3"/>
        </w:tc>
        <w:tc>
          <w:tcPr>
            <w:tcW w:w="1008" w:type="dxa"/>
            <w:tcBorders>
              <w:top w:val="nil"/>
              <w:left w:val="single" w:sz="8" w:space="0" w:color="FFFFFF"/>
              <w:bottom w:val="single" w:sz="8" w:space="0" w:color="FFFFFF"/>
              <w:right w:val="single" w:sz="8" w:space="0" w:color="FFFFFF"/>
            </w:tcBorders>
            <w:shd w:val="clear" w:color="000000" w:fill="E0E0E0"/>
            <w:vAlign w:val="center"/>
            <w:hideMark/>
          </w:tcPr>
          <w:p w14:paraId="0C54B0A7" w14:textId="77777777" w:rsidR="009203BF" w:rsidRPr="009203BF" w:rsidRDefault="009203BF" w:rsidP="00123F5D">
            <w:pPr>
              <w:jc w:val="center"/>
            </w:pPr>
            <w:r w:rsidRPr="009203BF">
              <w:rPr>
                <w:rFonts w:ascii="Segoe UI Symbol" w:hAnsi="Segoe UI Symbol" w:cs="Segoe UI Symbol"/>
              </w:rPr>
              <w:t>◕</w:t>
            </w:r>
          </w:p>
        </w:tc>
        <w:tc>
          <w:tcPr>
            <w:tcW w:w="3874" w:type="dxa"/>
            <w:tcBorders>
              <w:top w:val="nil"/>
              <w:left w:val="nil"/>
              <w:bottom w:val="single" w:sz="8" w:space="0" w:color="FFFFFF"/>
              <w:right w:val="single" w:sz="8" w:space="0" w:color="FFFFFF"/>
            </w:tcBorders>
            <w:shd w:val="clear" w:color="000000" w:fill="F2F2F2"/>
            <w:vAlign w:val="bottom"/>
            <w:hideMark/>
          </w:tcPr>
          <w:p w14:paraId="2809A9D9" w14:textId="11753B7F" w:rsidR="009203BF" w:rsidRPr="009203BF" w:rsidRDefault="009203BF" w:rsidP="00123F5D">
            <w:pPr>
              <w:jc w:val="center"/>
            </w:pPr>
            <w:r w:rsidRPr="009203BF">
              <w:t>Recycling End</w:t>
            </w:r>
            <w:r w:rsidR="00EE3E44">
              <w:t>-</w:t>
            </w:r>
            <w:r w:rsidRPr="009203BF">
              <w:t>Markets</w:t>
            </w:r>
          </w:p>
        </w:tc>
      </w:tr>
      <w:tr w:rsidR="009203BF" w:rsidRPr="009203BF" w14:paraId="717DD9D2" w14:textId="77777777" w:rsidTr="00DD30EF">
        <w:trPr>
          <w:trHeight w:val="300"/>
        </w:trPr>
        <w:tc>
          <w:tcPr>
            <w:tcW w:w="1008" w:type="dxa"/>
            <w:tcBorders>
              <w:top w:val="nil"/>
              <w:left w:val="single" w:sz="8" w:space="0" w:color="FFFFFF"/>
              <w:bottom w:val="single" w:sz="8" w:space="0" w:color="FFFFFF"/>
              <w:right w:val="single" w:sz="8" w:space="0" w:color="FFFFFF"/>
            </w:tcBorders>
            <w:shd w:val="clear" w:color="000000" w:fill="E0E0E0"/>
            <w:vAlign w:val="center"/>
            <w:hideMark/>
          </w:tcPr>
          <w:p w14:paraId="5989CD5C" w14:textId="77777777" w:rsidR="009203BF" w:rsidRPr="009203BF" w:rsidRDefault="009203BF" w:rsidP="00DD30EF">
            <w:pPr>
              <w:jc w:val="center"/>
            </w:pPr>
            <w:r w:rsidRPr="009203BF">
              <w:rPr>
                <w:rFonts w:ascii="Segoe UI Symbol" w:hAnsi="Segoe UI Symbol" w:cs="Segoe UI Symbol"/>
              </w:rPr>
              <w:t>◔</w:t>
            </w:r>
          </w:p>
        </w:tc>
        <w:tc>
          <w:tcPr>
            <w:tcW w:w="4032" w:type="dxa"/>
            <w:tcBorders>
              <w:top w:val="nil"/>
              <w:left w:val="nil"/>
              <w:bottom w:val="single" w:sz="8" w:space="0" w:color="FFFFFF"/>
              <w:right w:val="single" w:sz="8" w:space="0" w:color="FFFFFF"/>
            </w:tcBorders>
            <w:shd w:val="clear" w:color="000000" w:fill="F2F2F2"/>
            <w:vAlign w:val="center"/>
            <w:hideMark/>
          </w:tcPr>
          <w:p w14:paraId="16983584" w14:textId="77777777" w:rsidR="009203BF" w:rsidRPr="009203BF" w:rsidRDefault="009203BF" w:rsidP="00DD30EF">
            <w:pPr>
              <w:jc w:val="left"/>
            </w:pPr>
            <w:r w:rsidRPr="009203BF">
              <w:t>Organics Facilities within 20 miles</w:t>
            </w:r>
          </w:p>
        </w:tc>
        <w:tc>
          <w:tcPr>
            <w:tcW w:w="428" w:type="dxa"/>
            <w:tcBorders>
              <w:top w:val="nil"/>
              <w:left w:val="nil"/>
              <w:bottom w:val="nil"/>
              <w:right w:val="nil"/>
            </w:tcBorders>
            <w:shd w:val="clear" w:color="auto" w:fill="auto"/>
            <w:noWrap/>
            <w:vAlign w:val="bottom"/>
            <w:hideMark/>
          </w:tcPr>
          <w:p w14:paraId="6849BC6D" w14:textId="77777777" w:rsidR="009203BF" w:rsidRPr="009203BF" w:rsidRDefault="009203BF" w:rsidP="00530CF3"/>
        </w:tc>
        <w:tc>
          <w:tcPr>
            <w:tcW w:w="1008" w:type="dxa"/>
            <w:tcBorders>
              <w:top w:val="nil"/>
              <w:left w:val="single" w:sz="8" w:space="0" w:color="FFFFFF"/>
              <w:bottom w:val="single" w:sz="8" w:space="0" w:color="FFFFFF"/>
              <w:right w:val="single" w:sz="8" w:space="0" w:color="FFFFFF"/>
            </w:tcBorders>
            <w:shd w:val="clear" w:color="000000" w:fill="E0E0E0"/>
            <w:vAlign w:val="center"/>
            <w:hideMark/>
          </w:tcPr>
          <w:p w14:paraId="6FCE99A1" w14:textId="358BEAA5" w:rsidR="009203BF" w:rsidRPr="009203BF" w:rsidRDefault="00AC794D" w:rsidP="00123F5D">
            <w:pPr>
              <w:jc w:val="center"/>
            </w:pPr>
            <w:r w:rsidRPr="00AC794D">
              <w:rPr>
                <w:rFonts w:ascii="Segoe UI Symbol" w:eastAsia="Segoe UI Symbol" w:hAnsi="Segoe UI Symbol"/>
                <w:sz w:val="16"/>
                <w:szCs w:val="15"/>
                <w:lang w:eastAsia="ja-JP"/>
              </w:rPr>
              <w:t>◯</w:t>
            </w:r>
          </w:p>
        </w:tc>
        <w:tc>
          <w:tcPr>
            <w:tcW w:w="3874" w:type="dxa"/>
            <w:tcBorders>
              <w:top w:val="nil"/>
              <w:left w:val="nil"/>
              <w:bottom w:val="single" w:sz="8" w:space="0" w:color="FFFFFF"/>
              <w:right w:val="single" w:sz="8" w:space="0" w:color="FFFFFF"/>
            </w:tcBorders>
            <w:shd w:val="clear" w:color="000000" w:fill="F2F2F2"/>
            <w:vAlign w:val="bottom"/>
            <w:hideMark/>
          </w:tcPr>
          <w:p w14:paraId="63E8B53D" w14:textId="1D2429DE" w:rsidR="009203BF" w:rsidRPr="009203BF" w:rsidRDefault="009203BF" w:rsidP="00123F5D">
            <w:pPr>
              <w:jc w:val="center"/>
            </w:pPr>
            <w:r w:rsidRPr="009203BF">
              <w:t>End</w:t>
            </w:r>
            <w:r w:rsidR="00EE3E44">
              <w:t>-</w:t>
            </w:r>
            <w:r w:rsidRPr="009203BF">
              <w:t>Market Dev</w:t>
            </w:r>
            <w:r w:rsidR="00EE3E44">
              <w:t>elopment</w:t>
            </w:r>
          </w:p>
        </w:tc>
      </w:tr>
      <w:tr w:rsidR="009203BF" w:rsidRPr="009203BF" w14:paraId="22DC3A53" w14:textId="77777777" w:rsidTr="00DD30EF">
        <w:trPr>
          <w:trHeight w:val="300"/>
        </w:trPr>
        <w:tc>
          <w:tcPr>
            <w:tcW w:w="1008" w:type="dxa"/>
            <w:tcBorders>
              <w:top w:val="nil"/>
              <w:left w:val="single" w:sz="8" w:space="0" w:color="FFFFFF"/>
              <w:bottom w:val="single" w:sz="8" w:space="0" w:color="FFFFFF"/>
              <w:right w:val="single" w:sz="8" w:space="0" w:color="FFFFFF"/>
            </w:tcBorders>
            <w:shd w:val="clear" w:color="000000" w:fill="E0E0E0"/>
            <w:vAlign w:val="center"/>
            <w:hideMark/>
          </w:tcPr>
          <w:p w14:paraId="041A4661" w14:textId="77777777" w:rsidR="009203BF" w:rsidRPr="009203BF" w:rsidRDefault="009203BF" w:rsidP="00DD30EF">
            <w:pPr>
              <w:jc w:val="center"/>
            </w:pPr>
            <w:r w:rsidRPr="009203BF">
              <w:rPr>
                <w:rFonts w:ascii="Segoe UI Symbol" w:hAnsi="Segoe UI Symbol" w:cs="Segoe UI Symbol"/>
              </w:rPr>
              <w:t>◔</w:t>
            </w:r>
          </w:p>
        </w:tc>
        <w:tc>
          <w:tcPr>
            <w:tcW w:w="4032" w:type="dxa"/>
            <w:tcBorders>
              <w:top w:val="nil"/>
              <w:left w:val="nil"/>
              <w:bottom w:val="single" w:sz="8" w:space="0" w:color="FFFFFF"/>
              <w:right w:val="single" w:sz="8" w:space="0" w:color="FFFFFF"/>
            </w:tcBorders>
            <w:shd w:val="clear" w:color="000000" w:fill="F2F2F2"/>
            <w:vAlign w:val="center"/>
            <w:hideMark/>
          </w:tcPr>
          <w:p w14:paraId="7F0A98BA" w14:textId="77777777" w:rsidR="009203BF" w:rsidRPr="009203BF" w:rsidRDefault="009203BF" w:rsidP="00DD30EF">
            <w:pPr>
              <w:jc w:val="left"/>
            </w:pPr>
            <w:r w:rsidRPr="009203BF">
              <w:t>Hard to Recycle</w:t>
            </w:r>
          </w:p>
        </w:tc>
        <w:tc>
          <w:tcPr>
            <w:tcW w:w="428" w:type="dxa"/>
            <w:tcBorders>
              <w:top w:val="nil"/>
              <w:left w:val="nil"/>
              <w:bottom w:val="nil"/>
              <w:right w:val="nil"/>
            </w:tcBorders>
            <w:shd w:val="clear" w:color="auto" w:fill="auto"/>
            <w:noWrap/>
            <w:vAlign w:val="bottom"/>
            <w:hideMark/>
          </w:tcPr>
          <w:p w14:paraId="54921F31" w14:textId="77777777" w:rsidR="009203BF" w:rsidRPr="009203BF" w:rsidRDefault="009203BF" w:rsidP="00530CF3"/>
        </w:tc>
        <w:tc>
          <w:tcPr>
            <w:tcW w:w="1008" w:type="dxa"/>
            <w:tcBorders>
              <w:top w:val="nil"/>
              <w:left w:val="single" w:sz="8" w:space="0" w:color="FFFFFF"/>
              <w:bottom w:val="single" w:sz="8" w:space="0" w:color="FFFFFF"/>
              <w:right w:val="single" w:sz="8" w:space="0" w:color="FFFFFF"/>
            </w:tcBorders>
            <w:shd w:val="clear" w:color="000000" w:fill="E0E0E0"/>
            <w:vAlign w:val="center"/>
            <w:hideMark/>
          </w:tcPr>
          <w:p w14:paraId="04C36BF4" w14:textId="77777777" w:rsidR="009203BF" w:rsidRPr="009203BF" w:rsidRDefault="009203BF" w:rsidP="00123F5D">
            <w:pPr>
              <w:jc w:val="center"/>
            </w:pPr>
            <w:r w:rsidRPr="009203BF">
              <w:rPr>
                <w:rFonts w:ascii="Segoe UI Symbol" w:hAnsi="Segoe UI Symbol" w:cs="Segoe UI Symbol"/>
              </w:rPr>
              <w:t>◑</w:t>
            </w:r>
          </w:p>
        </w:tc>
        <w:tc>
          <w:tcPr>
            <w:tcW w:w="3874" w:type="dxa"/>
            <w:tcBorders>
              <w:top w:val="nil"/>
              <w:left w:val="nil"/>
              <w:bottom w:val="single" w:sz="8" w:space="0" w:color="FFFFFF"/>
              <w:right w:val="single" w:sz="8" w:space="0" w:color="FFFFFF"/>
            </w:tcBorders>
            <w:shd w:val="clear" w:color="000000" w:fill="F2F2F2"/>
            <w:vAlign w:val="bottom"/>
            <w:hideMark/>
          </w:tcPr>
          <w:p w14:paraId="58111840" w14:textId="725927CB" w:rsidR="009203BF" w:rsidRPr="009203BF" w:rsidRDefault="009203BF" w:rsidP="00123F5D">
            <w:pPr>
              <w:jc w:val="center"/>
            </w:pPr>
            <w:r w:rsidRPr="009203BF">
              <w:t>Composting End</w:t>
            </w:r>
            <w:r w:rsidR="00EE3E44">
              <w:t>-</w:t>
            </w:r>
            <w:r w:rsidRPr="009203BF">
              <w:t>Markets</w:t>
            </w:r>
          </w:p>
        </w:tc>
      </w:tr>
      <w:tr w:rsidR="009203BF" w:rsidRPr="009203BF" w14:paraId="27E2F90F" w14:textId="77777777" w:rsidTr="00DD30EF">
        <w:trPr>
          <w:trHeight w:val="300"/>
        </w:trPr>
        <w:tc>
          <w:tcPr>
            <w:tcW w:w="1008" w:type="dxa"/>
            <w:tcBorders>
              <w:top w:val="nil"/>
              <w:left w:val="single" w:sz="8" w:space="0" w:color="FFFFFF"/>
              <w:bottom w:val="single" w:sz="8" w:space="0" w:color="FFFFFF"/>
              <w:right w:val="single" w:sz="8" w:space="0" w:color="FFFFFF"/>
            </w:tcBorders>
            <w:shd w:val="clear" w:color="000000" w:fill="E0E0E0"/>
            <w:vAlign w:val="center"/>
            <w:hideMark/>
          </w:tcPr>
          <w:p w14:paraId="75B64B48" w14:textId="75434DBA" w:rsidR="009203BF" w:rsidRPr="009203BF" w:rsidRDefault="00AC794D" w:rsidP="00DD30EF">
            <w:pPr>
              <w:jc w:val="center"/>
            </w:pPr>
            <w:r w:rsidRPr="00AC794D">
              <w:rPr>
                <w:rFonts w:ascii="Segoe UI Symbol" w:eastAsia="Segoe UI Symbol" w:hAnsi="Segoe UI Symbol"/>
                <w:sz w:val="16"/>
                <w:szCs w:val="15"/>
                <w:lang w:eastAsia="ja-JP"/>
              </w:rPr>
              <w:t>◯</w:t>
            </w:r>
          </w:p>
        </w:tc>
        <w:tc>
          <w:tcPr>
            <w:tcW w:w="4032" w:type="dxa"/>
            <w:tcBorders>
              <w:top w:val="nil"/>
              <w:left w:val="nil"/>
              <w:bottom w:val="single" w:sz="8" w:space="0" w:color="FFFFFF"/>
              <w:right w:val="single" w:sz="8" w:space="0" w:color="FFFFFF"/>
            </w:tcBorders>
            <w:shd w:val="clear" w:color="000000" w:fill="F2F2F2"/>
            <w:vAlign w:val="center"/>
            <w:hideMark/>
          </w:tcPr>
          <w:p w14:paraId="6D72EDC8" w14:textId="77777777" w:rsidR="009203BF" w:rsidRPr="009203BF" w:rsidRDefault="009203BF" w:rsidP="00DD30EF">
            <w:pPr>
              <w:jc w:val="left"/>
            </w:pPr>
            <w:r w:rsidRPr="009203BF">
              <w:t>Waste Transfer &amp; Disposal Capacity</w:t>
            </w:r>
          </w:p>
        </w:tc>
        <w:tc>
          <w:tcPr>
            <w:tcW w:w="428" w:type="dxa"/>
            <w:tcBorders>
              <w:top w:val="nil"/>
              <w:left w:val="nil"/>
              <w:bottom w:val="nil"/>
              <w:right w:val="nil"/>
            </w:tcBorders>
            <w:shd w:val="clear" w:color="auto" w:fill="auto"/>
            <w:noWrap/>
            <w:vAlign w:val="bottom"/>
            <w:hideMark/>
          </w:tcPr>
          <w:p w14:paraId="6D190FC2" w14:textId="77777777" w:rsidR="009203BF" w:rsidRPr="009203BF" w:rsidRDefault="009203BF" w:rsidP="00530CF3"/>
        </w:tc>
        <w:tc>
          <w:tcPr>
            <w:tcW w:w="1008" w:type="dxa"/>
            <w:tcBorders>
              <w:top w:val="nil"/>
              <w:left w:val="single" w:sz="8" w:space="0" w:color="FFFFFF"/>
              <w:bottom w:val="single" w:sz="8" w:space="0" w:color="FFFFFF"/>
              <w:right w:val="single" w:sz="8" w:space="0" w:color="FFFFFF"/>
            </w:tcBorders>
            <w:shd w:val="clear" w:color="000000" w:fill="E0E0E0"/>
            <w:vAlign w:val="center"/>
            <w:hideMark/>
          </w:tcPr>
          <w:p w14:paraId="757E7A49" w14:textId="77777777" w:rsidR="009203BF" w:rsidRPr="009203BF" w:rsidRDefault="009203BF" w:rsidP="00123F5D">
            <w:pPr>
              <w:jc w:val="center"/>
            </w:pPr>
            <w:r w:rsidRPr="009203BF">
              <w:rPr>
                <w:rFonts w:ascii="Segoe UI Symbol" w:hAnsi="Segoe UI Symbol" w:cs="Segoe UI Symbol"/>
              </w:rPr>
              <w:t>◑</w:t>
            </w:r>
          </w:p>
        </w:tc>
        <w:tc>
          <w:tcPr>
            <w:tcW w:w="3874" w:type="dxa"/>
            <w:tcBorders>
              <w:top w:val="nil"/>
              <w:left w:val="nil"/>
              <w:bottom w:val="single" w:sz="8" w:space="0" w:color="FFFFFF"/>
              <w:right w:val="single" w:sz="8" w:space="0" w:color="FFFFFF"/>
            </w:tcBorders>
            <w:shd w:val="clear" w:color="000000" w:fill="F2F2F2"/>
            <w:vAlign w:val="bottom"/>
            <w:hideMark/>
          </w:tcPr>
          <w:p w14:paraId="1026499E" w14:textId="77777777" w:rsidR="009203BF" w:rsidRPr="009203BF" w:rsidRDefault="009203BF" w:rsidP="00123F5D">
            <w:pPr>
              <w:jc w:val="center"/>
            </w:pPr>
            <w:r w:rsidRPr="009203BF">
              <w:t>Hard to Recycle</w:t>
            </w:r>
          </w:p>
        </w:tc>
      </w:tr>
      <w:tr w:rsidR="009203BF" w:rsidRPr="009203BF" w14:paraId="6DE1A2A9" w14:textId="77777777" w:rsidTr="00DD30EF">
        <w:trPr>
          <w:trHeight w:val="468"/>
        </w:trPr>
        <w:tc>
          <w:tcPr>
            <w:tcW w:w="1008" w:type="dxa"/>
            <w:tcBorders>
              <w:top w:val="nil"/>
              <w:left w:val="single" w:sz="8" w:space="0" w:color="FFFFFF"/>
              <w:bottom w:val="single" w:sz="8" w:space="0" w:color="FFFFFF"/>
              <w:right w:val="single" w:sz="8" w:space="0" w:color="FFFFFF"/>
            </w:tcBorders>
            <w:shd w:val="clear" w:color="000000" w:fill="E0E0E0"/>
            <w:vAlign w:val="center"/>
            <w:hideMark/>
          </w:tcPr>
          <w:p w14:paraId="497972F0" w14:textId="0F7907D1" w:rsidR="009203BF" w:rsidRPr="009203BF" w:rsidRDefault="007B3BCE" w:rsidP="00DD30EF">
            <w:pPr>
              <w:jc w:val="center"/>
            </w:pPr>
            <w:r w:rsidRPr="007B3BCE">
              <w:rPr>
                <w:noProof/>
                <w:sz w:val="32"/>
                <w:szCs w:val="32"/>
              </w:rPr>
              <w:t>●</w:t>
            </w:r>
          </w:p>
        </w:tc>
        <w:tc>
          <w:tcPr>
            <w:tcW w:w="4032" w:type="dxa"/>
            <w:tcBorders>
              <w:top w:val="nil"/>
              <w:left w:val="nil"/>
              <w:bottom w:val="single" w:sz="8" w:space="0" w:color="FFFFFF"/>
              <w:right w:val="single" w:sz="8" w:space="0" w:color="FFFFFF"/>
            </w:tcBorders>
            <w:shd w:val="clear" w:color="000000" w:fill="F2F2F2"/>
            <w:vAlign w:val="center"/>
            <w:hideMark/>
          </w:tcPr>
          <w:p w14:paraId="533B4DC2" w14:textId="77777777" w:rsidR="009203BF" w:rsidRPr="009203BF" w:rsidRDefault="009203BF" w:rsidP="00DD30EF">
            <w:pPr>
              <w:jc w:val="left"/>
            </w:pPr>
            <w:r w:rsidRPr="009203BF">
              <w:t>MRF/Recycling Transfer Station within 30 Mi.</w:t>
            </w:r>
          </w:p>
        </w:tc>
        <w:tc>
          <w:tcPr>
            <w:tcW w:w="428" w:type="dxa"/>
            <w:tcBorders>
              <w:top w:val="nil"/>
              <w:left w:val="nil"/>
              <w:bottom w:val="nil"/>
              <w:right w:val="nil"/>
            </w:tcBorders>
            <w:shd w:val="clear" w:color="auto" w:fill="auto"/>
            <w:noWrap/>
            <w:vAlign w:val="bottom"/>
            <w:hideMark/>
          </w:tcPr>
          <w:p w14:paraId="2522ECE3" w14:textId="77777777" w:rsidR="009203BF" w:rsidRPr="009203BF" w:rsidRDefault="009203BF" w:rsidP="00530CF3"/>
        </w:tc>
        <w:tc>
          <w:tcPr>
            <w:tcW w:w="1008" w:type="dxa"/>
            <w:tcBorders>
              <w:top w:val="nil"/>
              <w:left w:val="single" w:sz="8" w:space="0" w:color="FFFFFF"/>
              <w:bottom w:val="single" w:sz="8" w:space="0" w:color="FFFFFF"/>
              <w:right w:val="single" w:sz="8" w:space="0" w:color="FFFFFF"/>
            </w:tcBorders>
            <w:shd w:val="clear" w:color="000000" w:fill="E0E0E0"/>
            <w:vAlign w:val="center"/>
            <w:hideMark/>
          </w:tcPr>
          <w:p w14:paraId="47E67909" w14:textId="3A156798" w:rsidR="009203BF" w:rsidRPr="009203BF" w:rsidRDefault="007B3BCE" w:rsidP="00123F5D">
            <w:pPr>
              <w:jc w:val="center"/>
            </w:pPr>
            <w:r w:rsidRPr="007B3BCE">
              <w:rPr>
                <w:noProof/>
                <w:sz w:val="32"/>
                <w:szCs w:val="32"/>
              </w:rPr>
              <w:t>●</w:t>
            </w:r>
          </w:p>
        </w:tc>
        <w:tc>
          <w:tcPr>
            <w:tcW w:w="3874" w:type="dxa"/>
            <w:tcBorders>
              <w:top w:val="nil"/>
              <w:left w:val="nil"/>
              <w:bottom w:val="single" w:sz="8" w:space="0" w:color="FFFFFF"/>
              <w:right w:val="single" w:sz="8" w:space="0" w:color="FFFFFF"/>
            </w:tcBorders>
            <w:shd w:val="clear" w:color="000000" w:fill="F2F2F2"/>
            <w:vAlign w:val="center"/>
            <w:hideMark/>
          </w:tcPr>
          <w:p w14:paraId="6FBE2D6D" w14:textId="77777777" w:rsidR="009203BF" w:rsidRPr="009203BF" w:rsidRDefault="009203BF" w:rsidP="00123F5D">
            <w:pPr>
              <w:jc w:val="center"/>
            </w:pPr>
            <w:r w:rsidRPr="009203BF">
              <w:t>Access to Freight and Rail</w:t>
            </w:r>
          </w:p>
        </w:tc>
      </w:tr>
      <w:tr w:rsidR="009203BF" w:rsidRPr="009203BF" w14:paraId="5D4A2B84" w14:textId="77777777" w:rsidTr="00DD30EF">
        <w:trPr>
          <w:trHeight w:val="288"/>
        </w:trPr>
        <w:tc>
          <w:tcPr>
            <w:tcW w:w="1008" w:type="dxa"/>
            <w:tcBorders>
              <w:top w:val="nil"/>
              <w:left w:val="nil"/>
              <w:right w:val="nil"/>
            </w:tcBorders>
            <w:shd w:val="clear" w:color="auto" w:fill="auto"/>
            <w:noWrap/>
            <w:vAlign w:val="bottom"/>
            <w:hideMark/>
          </w:tcPr>
          <w:p w14:paraId="042A152D" w14:textId="77777777" w:rsidR="009203BF" w:rsidRPr="009203BF" w:rsidRDefault="009203BF" w:rsidP="00DD30EF">
            <w:pPr>
              <w:jc w:val="center"/>
            </w:pPr>
          </w:p>
        </w:tc>
        <w:tc>
          <w:tcPr>
            <w:tcW w:w="4032" w:type="dxa"/>
            <w:tcBorders>
              <w:top w:val="nil"/>
              <w:left w:val="nil"/>
              <w:right w:val="nil"/>
            </w:tcBorders>
            <w:shd w:val="clear" w:color="auto" w:fill="auto"/>
            <w:noWrap/>
            <w:vAlign w:val="bottom"/>
            <w:hideMark/>
          </w:tcPr>
          <w:p w14:paraId="5D7B027D" w14:textId="77777777" w:rsidR="009203BF" w:rsidRPr="009203BF" w:rsidRDefault="009203BF" w:rsidP="00530CF3"/>
        </w:tc>
        <w:tc>
          <w:tcPr>
            <w:tcW w:w="428" w:type="dxa"/>
            <w:tcBorders>
              <w:top w:val="nil"/>
              <w:left w:val="nil"/>
              <w:right w:val="nil"/>
            </w:tcBorders>
            <w:shd w:val="clear" w:color="auto" w:fill="auto"/>
            <w:noWrap/>
            <w:vAlign w:val="bottom"/>
            <w:hideMark/>
          </w:tcPr>
          <w:p w14:paraId="531B5684" w14:textId="77777777" w:rsidR="009203BF" w:rsidRPr="009203BF" w:rsidRDefault="009203BF" w:rsidP="00530CF3"/>
        </w:tc>
        <w:tc>
          <w:tcPr>
            <w:tcW w:w="1008" w:type="dxa"/>
            <w:tcBorders>
              <w:top w:val="nil"/>
              <w:left w:val="nil"/>
              <w:right w:val="nil"/>
            </w:tcBorders>
            <w:shd w:val="clear" w:color="auto" w:fill="auto"/>
            <w:noWrap/>
            <w:vAlign w:val="bottom"/>
            <w:hideMark/>
          </w:tcPr>
          <w:p w14:paraId="5AD2EF60" w14:textId="77777777" w:rsidR="009203BF" w:rsidRPr="009203BF" w:rsidRDefault="009203BF" w:rsidP="00123F5D">
            <w:pPr>
              <w:jc w:val="center"/>
            </w:pPr>
          </w:p>
        </w:tc>
        <w:tc>
          <w:tcPr>
            <w:tcW w:w="3874" w:type="dxa"/>
            <w:tcBorders>
              <w:top w:val="nil"/>
              <w:left w:val="nil"/>
              <w:right w:val="nil"/>
            </w:tcBorders>
            <w:shd w:val="clear" w:color="auto" w:fill="auto"/>
            <w:noWrap/>
            <w:vAlign w:val="bottom"/>
            <w:hideMark/>
          </w:tcPr>
          <w:p w14:paraId="69362584" w14:textId="77777777" w:rsidR="009203BF" w:rsidRPr="009203BF" w:rsidRDefault="009203BF" w:rsidP="00123F5D">
            <w:pPr>
              <w:jc w:val="center"/>
            </w:pPr>
          </w:p>
        </w:tc>
      </w:tr>
      <w:tr w:rsidR="009203BF" w:rsidRPr="00DD30EF" w14:paraId="6992FEA9" w14:textId="77777777" w:rsidTr="00DD30EF">
        <w:trPr>
          <w:trHeight w:val="300"/>
        </w:trPr>
        <w:tc>
          <w:tcPr>
            <w:tcW w:w="5040" w:type="dxa"/>
            <w:gridSpan w:val="2"/>
            <w:tcBorders>
              <w:top w:val="nil"/>
              <w:left w:val="nil"/>
              <w:right w:val="nil"/>
            </w:tcBorders>
            <w:shd w:val="clear" w:color="auto" w:fill="auto"/>
            <w:noWrap/>
            <w:hideMark/>
          </w:tcPr>
          <w:p w14:paraId="01745CBF" w14:textId="77777777" w:rsidR="009203BF" w:rsidRPr="00DD30EF" w:rsidRDefault="009203BF" w:rsidP="00530CF3">
            <w:pPr>
              <w:rPr>
                <w:rFonts w:ascii="Georgia" w:hAnsi="Georgia"/>
                <w:b/>
                <w:bCs/>
              </w:rPr>
            </w:pPr>
            <w:r w:rsidRPr="00DD30EF">
              <w:rPr>
                <w:rFonts w:ascii="Georgia" w:hAnsi="Georgia"/>
                <w:b/>
                <w:bCs/>
              </w:rPr>
              <w:t>SUPPORTING POLICIES</w:t>
            </w:r>
          </w:p>
        </w:tc>
        <w:tc>
          <w:tcPr>
            <w:tcW w:w="428" w:type="dxa"/>
            <w:tcBorders>
              <w:top w:val="nil"/>
              <w:left w:val="nil"/>
              <w:right w:val="nil"/>
            </w:tcBorders>
            <w:shd w:val="clear" w:color="auto" w:fill="auto"/>
            <w:noWrap/>
            <w:vAlign w:val="bottom"/>
            <w:hideMark/>
          </w:tcPr>
          <w:p w14:paraId="6816AD2D" w14:textId="77777777" w:rsidR="009203BF" w:rsidRPr="00DD30EF" w:rsidRDefault="009203BF" w:rsidP="00530CF3">
            <w:pPr>
              <w:rPr>
                <w:rFonts w:ascii="Georgia" w:hAnsi="Georgia"/>
                <w:b/>
                <w:bCs/>
              </w:rPr>
            </w:pPr>
          </w:p>
        </w:tc>
        <w:tc>
          <w:tcPr>
            <w:tcW w:w="4882" w:type="dxa"/>
            <w:gridSpan w:val="2"/>
            <w:tcBorders>
              <w:top w:val="nil"/>
              <w:left w:val="nil"/>
              <w:right w:val="nil"/>
            </w:tcBorders>
            <w:shd w:val="clear" w:color="auto" w:fill="auto"/>
            <w:noWrap/>
            <w:hideMark/>
          </w:tcPr>
          <w:p w14:paraId="48FE947B" w14:textId="77777777" w:rsidR="009203BF" w:rsidRPr="00DD30EF" w:rsidRDefault="009203BF" w:rsidP="00123F5D">
            <w:pPr>
              <w:jc w:val="center"/>
              <w:rPr>
                <w:rFonts w:ascii="Georgia" w:hAnsi="Georgia"/>
                <w:b/>
                <w:bCs/>
              </w:rPr>
            </w:pPr>
            <w:r w:rsidRPr="00DD30EF">
              <w:rPr>
                <w:rFonts w:ascii="Georgia" w:hAnsi="Georgia"/>
                <w:b/>
                <w:bCs/>
              </w:rPr>
              <w:t>PUBLIC PRIVATE PARTNERSHIPS</w:t>
            </w:r>
          </w:p>
        </w:tc>
      </w:tr>
      <w:tr w:rsidR="009203BF" w:rsidRPr="009203BF" w14:paraId="4CFB5320" w14:textId="77777777" w:rsidTr="00A5561D">
        <w:trPr>
          <w:trHeight w:val="312"/>
        </w:trPr>
        <w:tc>
          <w:tcPr>
            <w:tcW w:w="1008" w:type="dxa"/>
            <w:tcBorders>
              <w:left w:val="single" w:sz="8" w:space="0" w:color="FFFFFF"/>
              <w:bottom w:val="single" w:sz="8" w:space="0" w:color="FFFFFF"/>
              <w:right w:val="single" w:sz="8" w:space="0" w:color="FFFFFF"/>
            </w:tcBorders>
            <w:shd w:val="clear" w:color="auto" w:fill="1D666E" w:themeFill="accent1"/>
            <w:vAlign w:val="center"/>
            <w:hideMark/>
          </w:tcPr>
          <w:p w14:paraId="47407A47" w14:textId="7B54D334" w:rsidR="009203BF" w:rsidRPr="00DD30EF" w:rsidRDefault="00353A9F" w:rsidP="00DD30EF">
            <w:pPr>
              <w:jc w:val="center"/>
              <w:rPr>
                <w:color w:val="FFFFFF" w:themeColor="background1"/>
              </w:rPr>
            </w:pPr>
            <w:r w:rsidRPr="00DD30EF">
              <w:rPr>
                <w:color w:val="FFFFFF" w:themeColor="background1"/>
              </w:rPr>
              <w:t>Uptake</w:t>
            </w:r>
          </w:p>
        </w:tc>
        <w:tc>
          <w:tcPr>
            <w:tcW w:w="4032" w:type="dxa"/>
            <w:tcBorders>
              <w:left w:val="nil"/>
              <w:bottom w:val="single" w:sz="8" w:space="0" w:color="FFFFFF"/>
              <w:right w:val="single" w:sz="8" w:space="0" w:color="FFFFFF"/>
            </w:tcBorders>
            <w:shd w:val="clear" w:color="auto" w:fill="1D666E" w:themeFill="accent1"/>
            <w:vAlign w:val="center"/>
            <w:hideMark/>
          </w:tcPr>
          <w:p w14:paraId="0F9FCA51" w14:textId="678BB235" w:rsidR="009203BF" w:rsidRPr="00DD30EF" w:rsidRDefault="00353A9F" w:rsidP="00530CF3">
            <w:pPr>
              <w:rPr>
                <w:color w:val="FFFFFF" w:themeColor="background1"/>
              </w:rPr>
            </w:pPr>
            <w:r w:rsidRPr="00DD30EF">
              <w:rPr>
                <w:color w:val="FFFFFF" w:themeColor="background1"/>
              </w:rPr>
              <w:t>Category</w:t>
            </w:r>
          </w:p>
        </w:tc>
        <w:tc>
          <w:tcPr>
            <w:tcW w:w="428" w:type="dxa"/>
            <w:tcBorders>
              <w:left w:val="nil"/>
              <w:bottom w:val="nil"/>
              <w:right w:val="nil"/>
            </w:tcBorders>
            <w:shd w:val="clear" w:color="auto" w:fill="auto"/>
            <w:noWrap/>
            <w:vAlign w:val="bottom"/>
            <w:hideMark/>
          </w:tcPr>
          <w:p w14:paraId="002134B6" w14:textId="77777777" w:rsidR="009203BF" w:rsidRPr="009203BF" w:rsidRDefault="009203BF" w:rsidP="00530CF3"/>
        </w:tc>
        <w:tc>
          <w:tcPr>
            <w:tcW w:w="1008" w:type="dxa"/>
            <w:tcBorders>
              <w:left w:val="single" w:sz="8" w:space="0" w:color="FFFFFF"/>
              <w:bottom w:val="single" w:sz="8" w:space="0" w:color="FFFFFF"/>
              <w:right w:val="single" w:sz="8" w:space="0" w:color="FFFFFF"/>
            </w:tcBorders>
            <w:shd w:val="clear" w:color="auto" w:fill="1D666E" w:themeFill="accent1"/>
            <w:vAlign w:val="center"/>
            <w:hideMark/>
          </w:tcPr>
          <w:p w14:paraId="14EFCED6" w14:textId="49E39FB6" w:rsidR="009203BF" w:rsidRPr="00DD30EF" w:rsidRDefault="00353A9F" w:rsidP="00123F5D">
            <w:pPr>
              <w:jc w:val="center"/>
              <w:rPr>
                <w:color w:val="FFFFFF" w:themeColor="background1"/>
              </w:rPr>
            </w:pPr>
            <w:r w:rsidRPr="00DD30EF">
              <w:rPr>
                <w:color w:val="FFFFFF" w:themeColor="background1"/>
              </w:rPr>
              <w:t>Uptake</w:t>
            </w:r>
          </w:p>
        </w:tc>
        <w:tc>
          <w:tcPr>
            <w:tcW w:w="3874" w:type="dxa"/>
            <w:tcBorders>
              <w:left w:val="nil"/>
              <w:bottom w:val="single" w:sz="8" w:space="0" w:color="FFFFFF"/>
              <w:right w:val="single" w:sz="8" w:space="0" w:color="FFFFFF"/>
            </w:tcBorders>
            <w:shd w:val="clear" w:color="auto" w:fill="1D666E" w:themeFill="accent1"/>
            <w:vAlign w:val="center"/>
            <w:hideMark/>
          </w:tcPr>
          <w:p w14:paraId="4EDE9B5E" w14:textId="1C5D3AFE" w:rsidR="009203BF" w:rsidRPr="00DD30EF" w:rsidRDefault="00353A9F" w:rsidP="00123F5D">
            <w:pPr>
              <w:jc w:val="center"/>
              <w:rPr>
                <w:color w:val="FFFFFF" w:themeColor="background1"/>
              </w:rPr>
            </w:pPr>
            <w:r w:rsidRPr="00DD30EF">
              <w:rPr>
                <w:color w:val="FFFFFF" w:themeColor="background1"/>
              </w:rPr>
              <w:t>Category</w:t>
            </w:r>
          </w:p>
        </w:tc>
      </w:tr>
      <w:tr w:rsidR="009203BF" w:rsidRPr="009203BF" w14:paraId="0DA9DD20" w14:textId="77777777" w:rsidTr="00DD30EF">
        <w:trPr>
          <w:trHeight w:val="300"/>
        </w:trPr>
        <w:tc>
          <w:tcPr>
            <w:tcW w:w="1008" w:type="dxa"/>
            <w:tcBorders>
              <w:top w:val="nil"/>
              <w:left w:val="single" w:sz="8" w:space="0" w:color="FFFFFF"/>
              <w:bottom w:val="single" w:sz="8" w:space="0" w:color="FFFFFF"/>
              <w:right w:val="single" w:sz="8" w:space="0" w:color="FFFFFF"/>
            </w:tcBorders>
            <w:shd w:val="clear" w:color="000000" w:fill="E0E0E0"/>
            <w:vAlign w:val="center"/>
            <w:hideMark/>
          </w:tcPr>
          <w:p w14:paraId="60B0C6D8" w14:textId="7216CEB6" w:rsidR="009203BF" w:rsidRPr="009203BF" w:rsidRDefault="007B3BCE" w:rsidP="00DD30EF">
            <w:pPr>
              <w:jc w:val="center"/>
            </w:pPr>
            <w:r w:rsidRPr="007B3BCE">
              <w:rPr>
                <w:noProof/>
                <w:sz w:val="32"/>
                <w:szCs w:val="32"/>
              </w:rPr>
              <w:t>●</w:t>
            </w:r>
          </w:p>
        </w:tc>
        <w:tc>
          <w:tcPr>
            <w:tcW w:w="4032" w:type="dxa"/>
            <w:tcBorders>
              <w:top w:val="nil"/>
              <w:left w:val="nil"/>
              <w:bottom w:val="single" w:sz="8" w:space="0" w:color="FFFFFF"/>
              <w:right w:val="single" w:sz="8" w:space="0" w:color="FFFFFF"/>
            </w:tcBorders>
            <w:shd w:val="clear" w:color="000000" w:fill="F2F2F2"/>
            <w:vAlign w:val="bottom"/>
            <w:hideMark/>
          </w:tcPr>
          <w:p w14:paraId="78C92C99" w14:textId="77777777" w:rsidR="009203BF" w:rsidRPr="009203BF" w:rsidRDefault="009203BF" w:rsidP="00DD30EF">
            <w:pPr>
              <w:jc w:val="left"/>
            </w:pPr>
            <w:r w:rsidRPr="009203BF">
              <w:t>Goals and Data Tracking</w:t>
            </w:r>
          </w:p>
        </w:tc>
        <w:tc>
          <w:tcPr>
            <w:tcW w:w="428" w:type="dxa"/>
            <w:tcBorders>
              <w:top w:val="nil"/>
              <w:left w:val="nil"/>
              <w:bottom w:val="nil"/>
              <w:right w:val="nil"/>
            </w:tcBorders>
            <w:shd w:val="clear" w:color="auto" w:fill="auto"/>
            <w:noWrap/>
            <w:vAlign w:val="bottom"/>
            <w:hideMark/>
          </w:tcPr>
          <w:p w14:paraId="58C0EB82" w14:textId="77777777" w:rsidR="009203BF" w:rsidRPr="009203BF" w:rsidRDefault="009203BF" w:rsidP="00530CF3"/>
        </w:tc>
        <w:tc>
          <w:tcPr>
            <w:tcW w:w="1008" w:type="dxa"/>
            <w:tcBorders>
              <w:top w:val="nil"/>
              <w:left w:val="single" w:sz="8" w:space="0" w:color="FFFFFF"/>
              <w:bottom w:val="single" w:sz="8" w:space="0" w:color="FFFFFF"/>
              <w:right w:val="single" w:sz="8" w:space="0" w:color="FFFFFF"/>
            </w:tcBorders>
            <w:shd w:val="clear" w:color="000000" w:fill="E0E0E0"/>
            <w:vAlign w:val="center"/>
            <w:hideMark/>
          </w:tcPr>
          <w:p w14:paraId="7C17B2DD" w14:textId="77777777" w:rsidR="009203BF" w:rsidRPr="009203BF" w:rsidRDefault="009203BF" w:rsidP="00123F5D">
            <w:pPr>
              <w:jc w:val="center"/>
            </w:pPr>
            <w:r w:rsidRPr="009203BF">
              <w:rPr>
                <w:rFonts w:ascii="Segoe UI Symbol" w:hAnsi="Segoe UI Symbol" w:cs="Segoe UI Symbol"/>
              </w:rPr>
              <w:t>◕</w:t>
            </w:r>
          </w:p>
        </w:tc>
        <w:tc>
          <w:tcPr>
            <w:tcW w:w="3874" w:type="dxa"/>
            <w:tcBorders>
              <w:top w:val="nil"/>
              <w:left w:val="nil"/>
              <w:bottom w:val="single" w:sz="8" w:space="0" w:color="FFFFFF"/>
              <w:right w:val="single" w:sz="8" w:space="0" w:color="FFFFFF"/>
            </w:tcBorders>
            <w:shd w:val="clear" w:color="000000" w:fill="F2F2F2"/>
            <w:vAlign w:val="center"/>
            <w:hideMark/>
          </w:tcPr>
          <w:p w14:paraId="3435C3EB" w14:textId="25EB1CBF" w:rsidR="009203BF" w:rsidRPr="009203BF" w:rsidRDefault="009203BF" w:rsidP="00123F5D">
            <w:pPr>
              <w:jc w:val="center"/>
            </w:pPr>
            <w:r w:rsidRPr="009203BF">
              <w:t>State Grants/Funding</w:t>
            </w:r>
          </w:p>
        </w:tc>
      </w:tr>
      <w:tr w:rsidR="009203BF" w:rsidRPr="009203BF" w14:paraId="12257EAA" w14:textId="77777777" w:rsidTr="00DD30EF">
        <w:trPr>
          <w:trHeight w:val="300"/>
        </w:trPr>
        <w:tc>
          <w:tcPr>
            <w:tcW w:w="1008" w:type="dxa"/>
            <w:tcBorders>
              <w:top w:val="nil"/>
              <w:left w:val="single" w:sz="8" w:space="0" w:color="FFFFFF"/>
              <w:bottom w:val="single" w:sz="8" w:space="0" w:color="FFFFFF"/>
              <w:right w:val="single" w:sz="8" w:space="0" w:color="FFFFFF"/>
            </w:tcBorders>
            <w:shd w:val="clear" w:color="000000" w:fill="E0E0E0"/>
            <w:vAlign w:val="center"/>
            <w:hideMark/>
          </w:tcPr>
          <w:p w14:paraId="4894C46E" w14:textId="77777777" w:rsidR="009203BF" w:rsidRPr="009203BF" w:rsidRDefault="009203BF" w:rsidP="00DD30EF">
            <w:pPr>
              <w:jc w:val="center"/>
            </w:pPr>
            <w:r w:rsidRPr="009203BF">
              <w:rPr>
                <w:rFonts w:ascii="Segoe UI Symbol" w:hAnsi="Segoe UI Symbol" w:cs="Segoe UI Symbol"/>
              </w:rPr>
              <w:t>◕</w:t>
            </w:r>
          </w:p>
        </w:tc>
        <w:tc>
          <w:tcPr>
            <w:tcW w:w="4032" w:type="dxa"/>
            <w:tcBorders>
              <w:top w:val="nil"/>
              <w:left w:val="nil"/>
              <w:bottom w:val="single" w:sz="8" w:space="0" w:color="FFFFFF"/>
              <w:right w:val="single" w:sz="8" w:space="0" w:color="FFFFFF"/>
            </w:tcBorders>
            <w:shd w:val="clear" w:color="000000" w:fill="F2F2F2"/>
            <w:vAlign w:val="bottom"/>
            <w:hideMark/>
          </w:tcPr>
          <w:p w14:paraId="0E408575" w14:textId="77777777" w:rsidR="009203BF" w:rsidRPr="009203BF" w:rsidRDefault="009203BF" w:rsidP="00DD30EF">
            <w:pPr>
              <w:jc w:val="left"/>
            </w:pPr>
            <w:r w:rsidRPr="009203BF">
              <w:t>Mandatory Recycling Legislation</w:t>
            </w:r>
          </w:p>
        </w:tc>
        <w:tc>
          <w:tcPr>
            <w:tcW w:w="428" w:type="dxa"/>
            <w:tcBorders>
              <w:top w:val="nil"/>
              <w:left w:val="nil"/>
              <w:bottom w:val="nil"/>
              <w:right w:val="nil"/>
            </w:tcBorders>
            <w:shd w:val="clear" w:color="auto" w:fill="auto"/>
            <w:noWrap/>
            <w:vAlign w:val="bottom"/>
            <w:hideMark/>
          </w:tcPr>
          <w:p w14:paraId="5C4C96A5" w14:textId="77777777" w:rsidR="009203BF" w:rsidRPr="009203BF" w:rsidRDefault="009203BF" w:rsidP="00530CF3"/>
        </w:tc>
        <w:tc>
          <w:tcPr>
            <w:tcW w:w="1008" w:type="dxa"/>
            <w:tcBorders>
              <w:top w:val="nil"/>
              <w:left w:val="single" w:sz="8" w:space="0" w:color="FFFFFF"/>
              <w:bottom w:val="single" w:sz="8" w:space="0" w:color="FFFFFF"/>
              <w:right w:val="single" w:sz="8" w:space="0" w:color="FFFFFF"/>
            </w:tcBorders>
            <w:shd w:val="clear" w:color="000000" w:fill="E0E0E0"/>
            <w:vAlign w:val="center"/>
            <w:hideMark/>
          </w:tcPr>
          <w:p w14:paraId="013C1A2D" w14:textId="77777777" w:rsidR="009203BF" w:rsidRPr="009203BF" w:rsidRDefault="009203BF" w:rsidP="00123F5D">
            <w:pPr>
              <w:jc w:val="center"/>
            </w:pPr>
            <w:r w:rsidRPr="009203BF">
              <w:rPr>
                <w:rFonts w:ascii="Segoe UI Symbol" w:hAnsi="Segoe UI Symbol" w:cs="Segoe UI Symbol"/>
              </w:rPr>
              <w:t>◔</w:t>
            </w:r>
          </w:p>
        </w:tc>
        <w:tc>
          <w:tcPr>
            <w:tcW w:w="3874" w:type="dxa"/>
            <w:tcBorders>
              <w:top w:val="nil"/>
              <w:left w:val="nil"/>
              <w:bottom w:val="single" w:sz="8" w:space="0" w:color="FFFFFF"/>
              <w:right w:val="single" w:sz="8" w:space="0" w:color="FFFFFF"/>
            </w:tcBorders>
            <w:shd w:val="clear" w:color="000000" w:fill="F2F2F2"/>
            <w:vAlign w:val="center"/>
            <w:hideMark/>
          </w:tcPr>
          <w:p w14:paraId="79C4E8D7" w14:textId="47BA915F" w:rsidR="009203BF" w:rsidRPr="009203BF" w:rsidRDefault="009203BF" w:rsidP="00123F5D">
            <w:pPr>
              <w:jc w:val="center"/>
            </w:pPr>
            <w:r w:rsidRPr="009203BF">
              <w:t>Federal Grants/Funding</w:t>
            </w:r>
          </w:p>
        </w:tc>
      </w:tr>
      <w:tr w:rsidR="009203BF" w:rsidRPr="009203BF" w14:paraId="48E9BF0F" w14:textId="77777777" w:rsidTr="00DD30EF">
        <w:trPr>
          <w:trHeight w:val="468"/>
        </w:trPr>
        <w:tc>
          <w:tcPr>
            <w:tcW w:w="1008" w:type="dxa"/>
            <w:tcBorders>
              <w:top w:val="nil"/>
              <w:left w:val="single" w:sz="8" w:space="0" w:color="FFFFFF"/>
              <w:bottom w:val="single" w:sz="8" w:space="0" w:color="FFFFFF"/>
              <w:right w:val="single" w:sz="8" w:space="0" w:color="FFFFFF"/>
            </w:tcBorders>
            <w:shd w:val="clear" w:color="000000" w:fill="E0E0E0"/>
            <w:vAlign w:val="center"/>
            <w:hideMark/>
          </w:tcPr>
          <w:p w14:paraId="4378F6D5" w14:textId="77777777" w:rsidR="009203BF" w:rsidRPr="009203BF" w:rsidRDefault="009203BF" w:rsidP="00DD30EF">
            <w:pPr>
              <w:jc w:val="center"/>
            </w:pPr>
            <w:r w:rsidRPr="009203BF">
              <w:rPr>
                <w:rFonts w:ascii="Segoe UI Symbol" w:hAnsi="Segoe UI Symbol" w:cs="Segoe UI Symbol"/>
              </w:rPr>
              <w:t>◑</w:t>
            </w:r>
          </w:p>
        </w:tc>
        <w:tc>
          <w:tcPr>
            <w:tcW w:w="4032" w:type="dxa"/>
            <w:tcBorders>
              <w:top w:val="nil"/>
              <w:left w:val="nil"/>
              <w:bottom w:val="single" w:sz="8" w:space="0" w:color="FFFFFF"/>
              <w:right w:val="single" w:sz="8" w:space="0" w:color="FFFFFF"/>
            </w:tcBorders>
            <w:shd w:val="clear" w:color="000000" w:fill="F2F2F2"/>
            <w:vAlign w:val="bottom"/>
            <w:hideMark/>
          </w:tcPr>
          <w:p w14:paraId="12A21044" w14:textId="77777777" w:rsidR="009203BF" w:rsidRPr="009203BF" w:rsidRDefault="009203BF" w:rsidP="00DD30EF">
            <w:pPr>
              <w:jc w:val="left"/>
            </w:pPr>
            <w:r w:rsidRPr="009203BF">
              <w:t>Mandatory Organics Legislation</w:t>
            </w:r>
          </w:p>
        </w:tc>
        <w:tc>
          <w:tcPr>
            <w:tcW w:w="428" w:type="dxa"/>
            <w:tcBorders>
              <w:top w:val="nil"/>
              <w:left w:val="nil"/>
              <w:bottom w:val="nil"/>
              <w:right w:val="nil"/>
            </w:tcBorders>
            <w:shd w:val="clear" w:color="auto" w:fill="auto"/>
            <w:noWrap/>
            <w:vAlign w:val="bottom"/>
            <w:hideMark/>
          </w:tcPr>
          <w:p w14:paraId="6E56ADBC" w14:textId="77777777" w:rsidR="009203BF" w:rsidRPr="009203BF" w:rsidRDefault="009203BF" w:rsidP="00530CF3"/>
        </w:tc>
        <w:tc>
          <w:tcPr>
            <w:tcW w:w="1008" w:type="dxa"/>
            <w:tcBorders>
              <w:top w:val="nil"/>
              <w:left w:val="single" w:sz="8" w:space="0" w:color="FFFFFF"/>
              <w:bottom w:val="single" w:sz="8" w:space="0" w:color="FFFFFF"/>
              <w:right w:val="single" w:sz="8" w:space="0" w:color="FFFFFF"/>
            </w:tcBorders>
            <w:shd w:val="clear" w:color="000000" w:fill="E0E0E0"/>
            <w:vAlign w:val="center"/>
            <w:hideMark/>
          </w:tcPr>
          <w:p w14:paraId="0E53E582" w14:textId="5DF497D8" w:rsidR="009203BF" w:rsidRPr="009203BF" w:rsidRDefault="00AC794D" w:rsidP="00123F5D">
            <w:pPr>
              <w:jc w:val="center"/>
            </w:pPr>
            <w:r w:rsidRPr="00AC794D">
              <w:rPr>
                <w:rFonts w:ascii="Segoe UI Symbol" w:eastAsia="Segoe UI Symbol" w:hAnsi="Segoe UI Symbol"/>
                <w:sz w:val="16"/>
                <w:szCs w:val="15"/>
                <w:lang w:eastAsia="ja-JP"/>
              </w:rPr>
              <w:t>◯</w:t>
            </w:r>
          </w:p>
        </w:tc>
        <w:tc>
          <w:tcPr>
            <w:tcW w:w="3874" w:type="dxa"/>
            <w:tcBorders>
              <w:top w:val="nil"/>
              <w:left w:val="nil"/>
              <w:bottom w:val="single" w:sz="8" w:space="0" w:color="FFFFFF"/>
              <w:right w:val="single" w:sz="8" w:space="0" w:color="FFFFFF"/>
            </w:tcBorders>
            <w:shd w:val="clear" w:color="000000" w:fill="F2F2F2"/>
            <w:vAlign w:val="center"/>
            <w:hideMark/>
          </w:tcPr>
          <w:p w14:paraId="43986865" w14:textId="77777777" w:rsidR="009203BF" w:rsidRPr="009203BF" w:rsidRDefault="009203BF" w:rsidP="00123F5D">
            <w:pPr>
              <w:jc w:val="center"/>
            </w:pPr>
            <w:r w:rsidRPr="009203BF">
              <w:t>Partner with Municipalities/Counties for Grants</w:t>
            </w:r>
          </w:p>
        </w:tc>
      </w:tr>
      <w:tr w:rsidR="009203BF" w:rsidRPr="009203BF" w14:paraId="1F85668D" w14:textId="77777777" w:rsidTr="00DD30EF">
        <w:trPr>
          <w:trHeight w:val="300"/>
        </w:trPr>
        <w:tc>
          <w:tcPr>
            <w:tcW w:w="1008" w:type="dxa"/>
            <w:tcBorders>
              <w:top w:val="nil"/>
              <w:left w:val="single" w:sz="8" w:space="0" w:color="FFFFFF"/>
              <w:bottom w:val="single" w:sz="8" w:space="0" w:color="FFFFFF"/>
              <w:right w:val="single" w:sz="8" w:space="0" w:color="FFFFFF"/>
            </w:tcBorders>
            <w:shd w:val="clear" w:color="000000" w:fill="E0E0E0"/>
            <w:vAlign w:val="center"/>
            <w:hideMark/>
          </w:tcPr>
          <w:p w14:paraId="4A539085" w14:textId="1D0FDBAA" w:rsidR="009203BF" w:rsidRPr="007B3BCE" w:rsidRDefault="007B3BCE" w:rsidP="00DD30EF">
            <w:pPr>
              <w:jc w:val="center"/>
              <w:rPr>
                <w:sz w:val="32"/>
                <w:szCs w:val="32"/>
              </w:rPr>
            </w:pPr>
            <w:r w:rsidRPr="007B3BCE">
              <w:rPr>
                <w:noProof/>
                <w:sz w:val="32"/>
                <w:szCs w:val="32"/>
              </w:rPr>
              <w:t>●</w:t>
            </w:r>
          </w:p>
        </w:tc>
        <w:tc>
          <w:tcPr>
            <w:tcW w:w="4032" w:type="dxa"/>
            <w:tcBorders>
              <w:top w:val="nil"/>
              <w:left w:val="nil"/>
              <w:bottom w:val="single" w:sz="8" w:space="0" w:color="FFFFFF"/>
              <w:right w:val="single" w:sz="8" w:space="0" w:color="FFFFFF"/>
            </w:tcBorders>
            <w:shd w:val="clear" w:color="000000" w:fill="F2F2F2"/>
            <w:vAlign w:val="bottom"/>
            <w:hideMark/>
          </w:tcPr>
          <w:p w14:paraId="02DC11A4" w14:textId="77777777" w:rsidR="009203BF" w:rsidRPr="009203BF" w:rsidRDefault="009203BF" w:rsidP="00DD30EF">
            <w:pPr>
              <w:jc w:val="left"/>
            </w:pPr>
            <w:r w:rsidRPr="009203BF">
              <w:t>Landfill Bans</w:t>
            </w:r>
          </w:p>
        </w:tc>
        <w:tc>
          <w:tcPr>
            <w:tcW w:w="428" w:type="dxa"/>
            <w:tcBorders>
              <w:top w:val="nil"/>
              <w:left w:val="nil"/>
              <w:bottom w:val="nil"/>
              <w:right w:val="nil"/>
            </w:tcBorders>
            <w:shd w:val="clear" w:color="auto" w:fill="auto"/>
            <w:noWrap/>
            <w:vAlign w:val="bottom"/>
            <w:hideMark/>
          </w:tcPr>
          <w:p w14:paraId="4F9D7374" w14:textId="77777777" w:rsidR="009203BF" w:rsidRPr="009203BF" w:rsidRDefault="009203BF" w:rsidP="00530CF3"/>
        </w:tc>
        <w:tc>
          <w:tcPr>
            <w:tcW w:w="1008" w:type="dxa"/>
            <w:tcBorders>
              <w:top w:val="nil"/>
              <w:left w:val="single" w:sz="8" w:space="0" w:color="FFFFFF"/>
              <w:bottom w:val="single" w:sz="8" w:space="0" w:color="FFFFFF"/>
              <w:right w:val="single" w:sz="8" w:space="0" w:color="FFFFFF"/>
            </w:tcBorders>
            <w:shd w:val="clear" w:color="000000" w:fill="E0E0E0"/>
            <w:vAlign w:val="center"/>
            <w:hideMark/>
          </w:tcPr>
          <w:p w14:paraId="66630FCB" w14:textId="77777777" w:rsidR="009203BF" w:rsidRPr="009203BF" w:rsidRDefault="009203BF" w:rsidP="00123F5D">
            <w:pPr>
              <w:jc w:val="center"/>
            </w:pPr>
            <w:r w:rsidRPr="009203BF">
              <w:rPr>
                <w:rFonts w:ascii="Segoe UI Symbol" w:hAnsi="Segoe UI Symbol" w:cs="Segoe UI Symbol"/>
              </w:rPr>
              <w:t>◔</w:t>
            </w:r>
          </w:p>
        </w:tc>
        <w:tc>
          <w:tcPr>
            <w:tcW w:w="3874" w:type="dxa"/>
            <w:tcBorders>
              <w:top w:val="nil"/>
              <w:left w:val="nil"/>
              <w:bottom w:val="single" w:sz="8" w:space="0" w:color="FFFFFF"/>
              <w:right w:val="single" w:sz="8" w:space="0" w:color="FFFFFF"/>
            </w:tcBorders>
            <w:shd w:val="clear" w:color="000000" w:fill="F2F2F2"/>
            <w:vAlign w:val="center"/>
            <w:hideMark/>
          </w:tcPr>
          <w:p w14:paraId="0161C9BF" w14:textId="77777777" w:rsidR="009203BF" w:rsidRPr="009203BF" w:rsidRDefault="009203BF" w:rsidP="00123F5D">
            <w:pPr>
              <w:jc w:val="center"/>
            </w:pPr>
            <w:r w:rsidRPr="009203BF">
              <w:t>Leverage Private Sector Partnerships</w:t>
            </w:r>
          </w:p>
        </w:tc>
      </w:tr>
      <w:tr w:rsidR="009203BF" w:rsidRPr="009203BF" w14:paraId="500A7637" w14:textId="77777777" w:rsidTr="00DD30EF">
        <w:trPr>
          <w:trHeight w:val="300"/>
        </w:trPr>
        <w:tc>
          <w:tcPr>
            <w:tcW w:w="1008" w:type="dxa"/>
            <w:tcBorders>
              <w:top w:val="nil"/>
              <w:left w:val="single" w:sz="8" w:space="0" w:color="FFFFFF"/>
              <w:bottom w:val="single" w:sz="8" w:space="0" w:color="FFFFFF"/>
              <w:right w:val="single" w:sz="8" w:space="0" w:color="FFFFFF"/>
            </w:tcBorders>
            <w:shd w:val="clear" w:color="000000" w:fill="E0E0E0"/>
            <w:vAlign w:val="center"/>
            <w:hideMark/>
          </w:tcPr>
          <w:p w14:paraId="5BBBF19C" w14:textId="77BEBE76" w:rsidR="009203BF" w:rsidRPr="007B3BCE" w:rsidRDefault="007B3BCE" w:rsidP="00DD30EF">
            <w:pPr>
              <w:jc w:val="center"/>
              <w:rPr>
                <w:sz w:val="32"/>
                <w:szCs w:val="32"/>
              </w:rPr>
            </w:pPr>
            <w:r w:rsidRPr="007B3BCE">
              <w:rPr>
                <w:noProof/>
                <w:sz w:val="32"/>
                <w:szCs w:val="32"/>
              </w:rPr>
              <w:t>●</w:t>
            </w:r>
          </w:p>
        </w:tc>
        <w:tc>
          <w:tcPr>
            <w:tcW w:w="4032" w:type="dxa"/>
            <w:tcBorders>
              <w:top w:val="nil"/>
              <w:left w:val="nil"/>
              <w:bottom w:val="single" w:sz="8" w:space="0" w:color="FFFFFF"/>
              <w:right w:val="single" w:sz="8" w:space="0" w:color="FFFFFF"/>
            </w:tcBorders>
            <w:shd w:val="clear" w:color="000000" w:fill="F2F2F2"/>
            <w:vAlign w:val="bottom"/>
            <w:hideMark/>
          </w:tcPr>
          <w:p w14:paraId="5430D077" w14:textId="77777777" w:rsidR="009203BF" w:rsidRPr="009203BF" w:rsidRDefault="009203BF" w:rsidP="00DD30EF">
            <w:pPr>
              <w:jc w:val="left"/>
            </w:pPr>
            <w:r w:rsidRPr="009203BF">
              <w:t>Container Deposits</w:t>
            </w:r>
          </w:p>
        </w:tc>
        <w:tc>
          <w:tcPr>
            <w:tcW w:w="428" w:type="dxa"/>
            <w:tcBorders>
              <w:top w:val="nil"/>
              <w:left w:val="nil"/>
              <w:bottom w:val="nil"/>
              <w:right w:val="nil"/>
            </w:tcBorders>
            <w:shd w:val="clear" w:color="auto" w:fill="auto"/>
            <w:noWrap/>
            <w:vAlign w:val="bottom"/>
            <w:hideMark/>
          </w:tcPr>
          <w:p w14:paraId="6FBA3ED8" w14:textId="77777777" w:rsidR="009203BF" w:rsidRPr="009203BF" w:rsidRDefault="009203BF" w:rsidP="00530CF3"/>
        </w:tc>
        <w:tc>
          <w:tcPr>
            <w:tcW w:w="1008" w:type="dxa"/>
            <w:tcBorders>
              <w:top w:val="nil"/>
              <w:left w:val="single" w:sz="8" w:space="0" w:color="FFFFFF"/>
              <w:bottom w:val="single" w:sz="8" w:space="0" w:color="FFFFFF"/>
              <w:right w:val="single" w:sz="8" w:space="0" w:color="FFFFFF"/>
            </w:tcBorders>
            <w:shd w:val="clear" w:color="000000" w:fill="E0E0E0"/>
            <w:vAlign w:val="center"/>
            <w:hideMark/>
          </w:tcPr>
          <w:p w14:paraId="5709C799" w14:textId="77777777" w:rsidR="009203BF" w:rsidRPr="009203BF" w:rsidRDefault="009203BF" w:rsidP="00123F5D">
            <w:pPr>
              <w:jc w:val="center"/>
            </w:pPr>
            <w:r w:rsidRPr="009203BF">
              <w:rPr>
                <w:rFonts w:ascii="Segoe UI Symbol" w:hAnsi="Segoe UI Symbol" w:cs="Segoe UI Symbol"/>
              </w:rPr>
              <w:t>◑</w:t>
            </w:r>
          </w:p>
        </w:tc>
        <w:tc>
          <w:tcPr>
            <w:tcW w:w="3874" w:type="dxa"/>
            <w:tcBorders>
              <w:top w:val="nil"/>
              <w:left w:val="nil"/>
              <w:bottom w:val="single" w:sz="8" w:space="0" w:color="FFFFFF"/>
              <w:right w:val="single" w:sz="8" w:space="0" w:color="FFFFFF"/>
            </w:tcBorders>
            <w:shd w:val="clear" w:color="000000" w:fill="F2F2F2"/>
            <w:vAlign w:val="center"/>
            <w:hideMark/>
          </w:tcPr>
          <w:p w14:paraId="2D3B1E69" w14:textId="77777777" w:rsidR="009203BF" w:rsidRPr="009203BF" w:rsidRDefault="009203BF" w:rsidP="00123F5D">
            <w:pPr>
              <w:jc w:val="center"/>
            </w:pPr>
            <w:r w:rsidRPr="009203BF">
              <w:t>Cooperative Public/Private Planning</w:t>
            </w:r>
          </w:p>
        </w:tc>
      </w:tr>
      <w:tr w:rsidR="009203BF" w:rsidRPr="009203BF" w14:paraId="364417F6" w14:textId="77777777" w:rsidTr="00DD30EF">
        <w:trPr>
          <w:trHeight w:val="300"/>
        </w:trPr>
        <w:tc>
          <w:tcPr>
            <w:tcW w:w="1008" w:type="dxa"/>
            <w:tcBorders>
              <w:top w:val="nil"/>
              <w:left w:val="single" w:sz="8" w:space="0" w:color="FFFFFF"/>
              <w:bottom w:val="single" w:sz="8" w:space="0" w:color="FFFFFF"/>
              <w:right w:val="single" w:sz="8" w:space="0" w:color="FFFFFF"/>
            </w:tcBorders>
            <w:shd w:val="clear" w:color="000000" w:fill="E0E0E0"/>
            <w:vAlign w:val="center"/>
            <w:hideMark/>
          </w:tcPr>
          <w:p w14:paraId="3C65EE2D" w14:textId="77777777" w:rsidR="009203BF" w:rsidRPr="009203BF" w:rsidRDefault="009203BF" w:rsidP="00DD30EF">
            <w:pPr>
              <w:jc w:val="center"/>
            </w:pPr>
            <w:r w:rsidRPr="009203BF">
              <w:rPr>
                <w:rFonts w:ascii="Segoe UI Symbol" w:hAnsi="Segoe UI Symbol" w:cs="Segoe UI Symbol"/>
              </w:rPr>
              <w:t>◔</w:t>
            </w:r>
          </w:p>
        </w:tc>
        <w:tc>
          <w:tcPr>
            <w:tcW w:w="4032" w:type="dxa"/>
            <w:tcBorders>
              <w:top w:val="nil"/>
              <w:left w:val="nil"/>
              <w:bottom w:val="single" w:sz="8" w:space="0" w:color="FFFFFF"/>
              <w:right w:val="single" w:sz="8" w:space="0" w:color="FFFFFF"/>
            </w:tcBorders>
            <w:shd w:val="clear" w:color="000000" w:fill="F2F2F2"/>
            <w:vAlign w:val="bottom"/>
            <w:hideMark/>
          </w:tcPr>
          <w:p w14:paraId="2D6F1827" w14:textId="77777777" w:rsidR="009203BF" w:rsidRPr="009203BF" w:rsidRDefault="009203BF" w:rsidP="00DD30EF">
            <w:pPr>
              <w:jc w:val="left"/>
            </w:pPr>
            <w:r w:rsidRPr="009203BF">
              <w:t>Unit-Based Pricing</w:t>
            </w:r>
          </w:p>
        </w:tc>
        <w:tc>
          <w:tcPr>
            <w:tcW w:w="428" w:type="dxa"/>
            <w:tcBorders>
              <w:top w:val="nil"/>
              <w:left w:val="nil"/>
              <w:bottom w:val="nil"/>
              <w:right w:val="nil"/>
            </w:tcBorders>
            <w:shd w:val="clear" w:color="auto" w:fill="auto"/>
            <w:noWrap/>
            <w:vAlign w:val="bottom"/>
            <w:hideMark/>
          </w:tcPr>
          <w:p w14:paraId="19FE67E9" w14:textId="77777777" w:rsidR="009203BF" w:rsidRPr="009203BF" w:rsidRDefault="009203BF" w:rsidP="00530CF3"/>
        </w:tc>
        <w:tc>
          <w:tcPr>
            <w:tcW w:w="1008" w:type="dxa"/>
            <w:tcBorders>
              <w:top w:val="nil"/>
              <w:left w:val="single" w:sz="8" w:space="0" w:color="FFFFFF"/>
              <w:bottom w:val="single" w:sz="8" w:space="0" w:color="FFFFFF"/>
              <w:right w:val="single" w:sz="8" w:space="0" w:color="FFFFFF"/>
            </w:tcBorders>
            <w:shd w:val="clear" w:color="000000" w:fill="E0E0E0"/>
            <w:vAlign w:val="center"/>
            <w:hideMark/>
          </w:tcPr>
          <w:p w14:paraId="4FE52405" w14:textId="77777777" w:rsidR="009203BF" w:rsidRPr="009203BF" w:rsidRDefault="009203BF" w:rsidP="00123F5D">
            <w:pPr>
              <w:jc w:val="center"/>
            </w:pPr>
            <w:r w:rsidRPr="009203BF">
              <w:rPr>
                <w:rFonts w:ascii="Segoe UI Symbol" w:hAnsi="Segoe UI Symbol" w:cs="Segoe UI Symbol"/>
              </w:rPr>
              <w:t>◕</w:t>
            </w:r>
          </w:p>
        </w:tc>
        <w:tc>
          <w:tcPr>
            <w:tcW w:w="3874" w:type="dxa"/>
            <w:tcBorders>
              <w:top w:val="nil"/>
              <w:left w:val="nil"/>
              <w:bottom w:val="single" w:sz="8" w:space="0" w:color="FFFFFF"/>
              <w:right w:val="single" w:sz="8" w:space="0" w:color="FFFFFF"/>
            </w:tcBorders>
            <w:shd w:val="clear" w:color="000000" w:fill="F2F2F2"/>
            <w:vAlign w:val="center"/>
            <w:hideMark/>
          </w:tcPr>
          <w:p w14:paraId="24A3AD82" w14:textId="77777777" w:rsidR="009203BF" w:rsidRPr="009203BF" w:rsidRDefault="009203BF" w:rsidP="00123F5D">
            <w:pPr>
              <w:jc w:val="center"/>
            </w:pPr>
            <w:r w:rsidRPr="009203BF">
              <w:t>Governmental Leadership &amp; Coordination</w:t>
            </w:r>
          </w:p>
        </w:tc>
      </w:tr>
      <w:tr w:rsidR="009203BF" w:rsidRPr="009203BF" w14:paraId="0A6D8AC0" w14:textId="77777777" w:rsidTr="00DD30EF">
        <w:trPr>
          <w:trHeight w:val="468"/>
        </w:trPr>
        <w:tc>
          <w:tcPr>
            <w:tcW w:w="1008" w:type="dxa"/>
            <w:tcBorders>
              <w:top w:val="nil"/>
              <w:left w:val="single" w:sz="8" w:space="0" w:color="FFFFFF"/>
              <w:bottom w:val="single" w:sz="8" w:space="0" w:color="FFFFFF"/>
              <w:right w:val="single" w:sz="8" w:space="0" w:color="FFFFFF"/>
            </w:tcBorders>
            <w:shd w:val="clear" w:color="000000" w:fill="E0E0E0"/>
            <w:vAlign w:val="center"/>
            <w:hideMark/>
          </w:tcPr>
          <w:p w14:paraId="6D5819FF" w14:textId="77777777" w:rsidR="009203BF" w:rsidRPr="009203BF" w:rsidRDefault="009203BF" w:rsidP="00DD30EF">
            <w:pPr>
              <w:jc w:val="center"/>
            </w:pPr>
            <w:r w:rsidRPr="009203BF">
              <w:rPr>
                <w:rFonts w:ascii="Segoe UI Symbol" w:hAnsi="Segoe UI Symbol" w:cs="Segoe UI Symbol"/>
              </w:rPr>
              <w:t>◑</w:t>
            </w:r>
          </w:p>
        </w:tc>
        <w:tc>
          <w:tcPr>
            <w:tcW w:w="4032" w:type="dxa"/>
            <w:tcBorders>
              <w:top w:val="nil"/>
              <w:left w:val="nil"/>
              <w:bottom w:val="single" w:sz="8" w:space="0" w:color="FFFFFF"/>
              <w:right w:val="single" w:sz="8" w:space="0" w:color="FFFFFF"/>
            </w:tcBorders>
            <w:shd w:val="clear" w:color="000000" w:fill="F2F2F2"/>
            <w:vAlign w:val="bottom"/>
            <w:hideMark/>
          </w:tcPr>
          <w:p w14:paraId="67EA3F79" w14:textId="77777777" w:rsidR="009203BF" w:rsidRPr="009203BF" w:rsidRDefault="009203BF" w:rsidP="00DD30EF">
            <w:pPr>
              <w:jc w:val="left"/>
            </w:pPr>
            <w:r w:rsidRPr="009203BF">
              <w:t>Extended Producer Responsibility</w:t>
            </w:r>
          </w:p>
        </w:tc>
        <w:tc>
          <w:tcPr>
            <w:tcW w:w="428" w:type="dxa"/>
            <w:tcBorders>
              <w:top w:val="nil"/>
              <w:left w:val="nil"/>
              <w:bottom w:val="nil"/>
              <w:right w:val="nil"/>
            </w:tcBorders>
            <w:shd w:val="clear" w:color="auto" w:fill="auto"/>
            <w:noWrap/>
            <w:vAlign w:val="bottom"/>
            <w:hideMark/>
          </w:tcPr>
          <w:p w14:paraId="2091FE45" w14:textId="77777777" w:rsidR="009203BF" w:rsidRPr="009203BF" w:rsidRDefault="009203BF" w:rsidP="00530CF3"/>
        </w:tc>
        <w:tc>
          <w:tcPr>
            <w:tcW w:w="1008" w:type="dxa"/>
            <w:tcBorders>
              <w:top w:val="nil"/>
              <w:left w:val="single" w:sz="8" w:space="0" w:color="FFFFFF"/>
              <w:bottom w:val="single" w:sz="8" w:space="0" w:color="FFFFFF"/>
              <w:right w:val="single" w:sz="8" w:space="0" w:color="FFFFFF"/>
            </w:tcBorders>
            <w:shd w:val="clear" w:color="000000" w:fill="E0E0E0"/>
            <w:vAlign w:val="center"/>
            <w:hideMark/>
          </w:tcPr>
          <w:p w14:paraId="1BD45378" w14:textId="4AAF3EF4" w:rsidR="009203BF" w:rsidRPr="00123F5D" w:rsidRDefault="00AC794D" w:rsidP="00AC794D">
            <w:pPr>
              <w:ind w:right="-25"/>
              <w:jc w:val="center"/>
              <w:rPr>
                <w:rFonts w:ascii="Segoe UI Symbol" w:eastAsia="Segoe UI Symbol" w:hAnsi="Segoe UI Symbol"/>
                <w:lang w:eastAsia="ja-JP"/>
              </w:rPr>
            </w:pPr>
            <w:r w:rsidRPr="00AC794D">
              <w:rPr>
                <w:rFonts w:ascii="Segoe UI Symbol" w:eastAsia="Segoe UI Symbol" w:hAnsi="Segoe UI Symbol"/>
                <w:sz w:val="16"/>
                <w:szCs w:val="15"/>
                <w:lang w:eastAsia="ja-JP"/>
              </w:rPr>
              <w:t>◯</w:t>
            </w:r>
          </w:p>
        </w:tc>
        <w:tc>
          <w:tcPr>
            <w:tcW w:w="3874" w:type="dxa"/>
            <w:tcBorders>
              <w:top w:val="nil"/>
              <w:left w:val="nil"/>
              <w:bottom w:val="single" w:sz="8" w:space="0" w:color="FFFFFF"/>
              <w:right w:val="single" w:sz="8" w:space="0" w:color="FFFFFF"/>
            </w:tcBorders>
            <w:shd w:val="clear" w:color="000000" w:fill="F2F2F2"/>
            <w:vAlign w:val="center"/>
            <w:hideMark/>
          </w:tcPr>
          <w:p w14:paraId="3B92D120" w14:textId="77777777" w:rsidR="009203BF" w:rsidRPr="009203BF" w:rsidRDefault="009203BF" w:rsidP="00123F5D">
            <w:pPr>
              <w:jc w:val="center"/>
            </w:pPr>
            <w:r w:rsidRPr="009203BF">
              <w:t>Outside Group (The Recycling Partnership, Closed Loop, etc.)</w:t>
            </w:r>
          </w:p>
        </w:tc>
      </w:tr>
    </w:tbl>
    <w:p w14:paraId="37AF7565" w14:textId="77777777" w:rsidR="00EA0AD1" w:rsidRDefault="00EA0AD1" w:rsidP="00530CF3"/>
    <w:p w14:paraId="72E09F99" w14:textId="77777777" w:rsidR="00EA0AD1" w:rsidRDefault="00EA0AD1" w:rsidP="00530CF3">
      <w:pPr>
        <w:sectPr w:rsidR="00EA0AD1" w:rsidSect="00DD30EF">
          <w:footerReference w:type="default" r:id="rId36"/>
          <w:pgSz w:w="12240" w:h="15840"/>
          <w:pgMar w:top="1080" w:right="1080" w:bottom="1440" w:left="1080" w:header="0" w:footer="0" w:gutter="0"/>
          <w:cols w:space="720"/>
          <w:docGrid w:linePitch="360"/>
        </w:sectPr>
      </w:pPr>
    </w:p>
    <w:p w14:paraId="0B23A25C" w14:textId="18DF1241" w:rsidR="0037039F" w:rsidRDefault="006C3D5A" w:rsidP="00353A9F">
      <w:pPr>
        <w:pStyle w:val="Subtitle"/>
      </w:pPr>
      <w:bookmarkStart w:id="68" w:name="_Toc117000330"/>
      <w:bookmarkStart w:id="69" w:name="_Toc117001053"/>
      <w:r>
        <w:t>Collection</w:t>
      </w:r>
      <w:bookmarkEnd w:id="66"/>
      <w:bookmarkEnd w:id="68"/>
      <w:bookmarkEnd w:id="69"/>
    </w:p>
    <w:p w14:paraId="53D87AC4" w14:textId="7EFDDCB3" w:rsidR="003F2821" w:rsidRDefault="003F2821" w:rsidP="003F2821">
      <w:r w:rsidRPr="003F2821">
        <w:t>Every household and business in a community needs easy access to recycling through curbside collection, commercial collection, and/or drop-off site locations. Recycling should be just as convenient as waste disposal.</w:t>
      </w:r>
    </w:p>
    <w:p w14:paraId="6A9FF9C5" w14:textId="77777777" w:rsidR="003F2821" w:rsidRPr="003F2821" w:rsidRDefault="003F2821" w:rsidP="003F2821"/>
    <w:p w14:paraId="6CFF695A" w14:textId="6B8DE784" w:rsidR="00EC1A3D" w:rsidRPr="0037039F" w:rsidRDefault="00000325" w:rsidP="00530CF3">
      <w:pPr>
        <w:pStyle w:val="Caption"/>
      </w:pPr>
      <w:bookmarkStart w:id="70" w:name="_Toc116992206"/>
      <w:r>
        <w:t xml:space="preserve">Table </w:t>
      </w:r>
      <w:r>
        <w:fldChar w:fldCharType="begin"/>
      </w:r>
      <w:r>
        <w:instrText>SEQ Table \* ARABIC</w:instrText>
      </w:r>
      <w:r>
        <w:fldChar w:fldCharType="separate"/>
      </w:r>
      <w:r w:rsidR="00CC33D6">
        <w:rPr>
          <w:noProof/>
        </w:rPr>
        <w:t>1</w:t>
      </w:r>
      <w:r>
        <w:fldChar w:fldCharType="end"/>
      </w:r>
      <w:r>
        <w:t xml:space="preserve"> </w:t>
      </w:r>
      <w:r w:rsidRPr="00E17BEB">
        <w:t>Collection Evaluation</w:t>
      </w:r>
      <w:bookmarkEnd w:id="70"/>
    </w:p>
    <w:tbl>
      <w:tblPr>
        <w:tblStyle w:val="TableStyle1"/>
        <w:tblpPr w:leftFromText="180" w:rightFromText="180" w:vertAnchor="text" w:horzAnchor="margin" w:tblpY="359"/>
        <w:tblW w:w="10345" w:type="dxa"/>
        <w:tblCellMar>
          <w:top w:w="115" w:type="dxa"/>
          <w:left w:w="108" w:type="dxa"/>
          <w:bottom w:w="115" w:type="dxa"/>
          <w:right w:w="108" w:type="dxa"/>
        </w:tblCellMar>
        <w:tblLook w:val="06A0" w:firstRow="1" w:lastRow="0" w:firstColumn="1" w:lastColumn="0" w:noHBand="1" w:noVBand="1"/>
      </w:tblPr>
      <w:tblGrid>
        <w:gridCol w:w="1024"/>
        <w:gridCol w:w="1948"/>
        <w:gridCol w:w="7373"/>
      </w:tblGrid>
      <w:tr w:rsidR="00D0303C" w:rsidRPr="00353A9F" w14:paraId="09A3ADB2" w14:textId="77777777" w:rsidTr="00A5561D">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024" w:type="dxa"/>
            <w:shd w:val="clear" w:color="auto" w:fill="1D666E" w:themeFill="accent1"/>
          </w:tcPr>
          <w:p w14:paraId="05CD9AC0" w14:textId="77777777" w:rsidR="00D0303C" w:rsidRPr="00A5561D" w:rsidRDefault="00D0303C" w:rsidP="00A5561D">
            <w:pPr>
              <w:spacing w:after="120" w:line="240" w:lineRule="auto"/>
              <w:jc w:val="center"/>
              <w:rPr>
                <w:color w:val="FFFFFF" w:themeColor="background1"/>
                <w:sz w:val="19"/>
                <w:szCs w:val="19"/>
              </w:rPr>
            </w:pPr>
            <w:r w:rsidRPr="00A5561D">
              <w:rPr>
                <w:color w:val="FFFFFF" w:themeColor="background1"/>
                <w:sz w:val="19"/>
                <w:szCs w:val="19"/>
              </w:rPr>
              <w:t>Uptake</w:t>
            </w:r>
          </w:p>
        </w:tc>
        <w:tc>
          <w:tcPr>
            <w:tcW w:w="1948" w:type="dxa"/>
            <w:shd w:val="clear" w:color="auto" w:fill="1D666E" w:themeFill="accent1"/>
          </w:tcPr>
          <w:p w14:paraId="3BB6642F" w14:textId="77777777" w:rsidR="00D0303C" w:rsidRPr="00A5561D" w:rsidRDefault="00D0303C" w:rsidP="00CF466F">
            <w:pPr>
              <w:spacing w:after="120" w:line="240" w:lineRule="auto"/>
              <w:cnfStyle w:val="100000000000" w:firstRow="1" w:lastRow="0" w:firstColumn="0" w:lastColumn="0" w:oddVBand="0" w:evenVBand="0" w:oddHBand="0" w:evenHBand="0" w:firstRowFirstColumn="0" w:firstRowLastColumn="0" w:lastRowFirstColumn="0" w:lastRowLastColumn="0"/>
              <w:rPr>
                <w:color w:val="FFFFFF" w:themeColor="background1"/>
                <w:sz w:val="19"/>
                <w:szCs w:val="19"/>
              </w:rPr>
            </w:pPr>
            <w:r w:rsidRPr="00A5561D">
              <w:rPr>
                <w:color w:val="FFFFFF" w:themeColor="background1"/>
                <w:sz w:val="19"/>
                <w:szCs w:val="19"/>
              </w:rPr>
              <w:t>Category</w:t>
            </w:r>
          </w:p>
        </w:tc>
        <w:tc>
          <w:tcPr>
            <w:tcW w:w="7373" w:type="dxa"/>
            <w:shd w:val="clear" w:color="auto" w:fill="1D666E" w:themeFill="accent1"/>
          </w:tcPr>
          <w:p w14:paraId="5F2E2DE6" w14:textId="77777777" w:rsidR="00D0303C" w:rsidRPr="00A5561D" w:rsidRDefault="00D0303C" w:rsidP="00CF466F">
            <w:pPr>
              <w:spacing w:after="120" w:line="240" w:lineRule="auto"/>
              <w:cnfStyle w:val="100000000000" w:firstRow="1" w:lastRow="0" w:firstColumn="0" w:lastColumn="0" w:oddVBand="0" w:evenVBand="0" w:oddHBand="0" w:evenHBand="0" w:firstRowFirstColumn="0" w:firstRowLastColumn="0" w:lastRowFirstColumn="0" w:lastRowLastColumn="0"/>
              <w:rPr>
                <w:color w:val="FFFFFF" w:themeColor="background1"/>
                <w:sz w:val="19"/>
                <w:szCs w:val="19"/>
              </w:rPr>
            </w:pPr>
            <w:r w:rsidRPr="00A5561D">
              <w:rPr>
                <w:color w:val="FFFFFF" w:themeColor="background1"/>
                <w:sz w:val="19"/>
                <w:szCs w:val="19"/>
              </w:rPr>
              <w:t>Findings</w:t>
            </w:r>
          </w:p>
        </w:tc>
      </w:tr>
      <w:tr w:rsidR="0037039F" w:rsidRPr="00D0303C" w14:paraId="73461263" w14:textId="77777777" w:rsidTr="00A5561D">
        <w:trPr>
          <w:trHeight w:val="353"/>
        </w:trPr>
        <w:tc>
          <w:tcPr>
            <w:cnfStyle w:val="001000000000" w:firstRow="0" w:lastRow="0" w:firstColumn="1" w:lastColumn="0" w:oddVBand="0" w:evenVBand="0" w:oddHBand="0" w:evenHBand="0" w:firstRowFirstColumn="0" w:firstRowLastColumn="0" w:lastRowFirstColumn="0" w:lastRowLastColumn="0"/>
            <w:tcW w:w="1024" w:type="dxa"/>
          </w:tcPr>
          <w:p w14:paraId="674B30AC" w14:textId="2EA8C355" w:rsidR="00D0303C" w:rsidRPr="00A5561D" w:rsidRDefault="00515874" w:rsidP="00A5561D">
            <w:pPr>
              <w:spacing w:after="120" w:line="240" w:lineRule="auto"/>
              <w:jc w:val="center"/>
              <w:rPr>
                <w:rFonts w:asciiTheme="minorHAnsi" w:hAnsiTheme="minorHAnsi"/>
                <w:sz w:val="19"/>
                <w:szCs w:val="19"/>
              </w:rPr>
            </w:pPr>
            <w:r w:rsidRPr="00A5561D">
              <w:rPr>
                <w:rFonts w:ascii="Segoe UI Symbol" w:hAnsi="Segoe UI Symbol" w:cs="Segoe UI Symbol"/>
                <w:noProof/>
                <w:sz w:val="19"/>
                <w:szCs w:val="19"/>
              </w:rPr>
              <w:t>◕</w:t>
            </w:r>
          </w:p>
        </w:tc>
        <w:tc>
          <w:tcPr>
            <w:tcW w:w="1948" w:type="dxa"/>
          </w:tcPr>
          <w:p w14:paraId="4A971A5D" w14:textId="2C86C418" w:rsidR="00D0303C" w:rsidRPr="00A5561D" w:rsidRDefault="00D0303C" w:rsidP="00CF466F">
            <w:pPr>
              <w:spacing w:after="240" w:line="240"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 xml:space="preserve">Multi-family </w:t>
            </w:r>
            <w:r w:rsidR="00B23A89" w:rsidRPr="00A5561D">
              <w:rPr>
                <w:sz w:val="19"/>
                <w:szCs w:val="19"/>
              </w:rPr>
              <w:t>P</w:t>
            </w:r>
            <w:r w:rsidRPr="00A5561D">
              <w:rPr>
                <w:sz w:val="19"/>
                <w:szCs w:val="19"/>
              </w:rPr>
              <w:t xml:space="preserve">rogramming </w:t>
            </w:r>
          </w:p>
        </w:tc>
        <w:tc>
          <w:tcPr>
            <w:tcW w:w="7373" w:type="dxa"/>
          </w:tcPr>
          <w:p w14:paraId="21DB407F" w14:textId="156B776A" w:rsidR="00D0303C" w:rsidRPr="00A5561D" w:rsidRDefault="007F7E3A" w:rsidP="00CF466F">
            <w:pPr>
              <w:spacing w:after="240" w:line="240"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T</w:t>
            </w:r>
            <w:r w:rsidR="00B51755" w:rsidRPr="00A5561D">
              <w:rPr>
                <w:sz w:val="19"/>
                <w:szCs w:val="19"/>
              </w:rPr>
              <w:t>he</w:t>
            </w:r>
            <w:r w:rsidR="0068309D" w:rsidRPr="00A5561D">
              <w:rPr>
                <w:sz w:val="19"/>
                <w:szCs w:val="19"/>
              </w:rPr>
              <w:t xml:space="preserve"> </w:t>
            </w:r>
            <w:r w:rsidR="00B51755" w:rsidRPr="00A5561D">
              <w:rPr>
                <w:sz w:val="19"/>
                <w:szCs w:val="19"/>
              </w:rPr>
              <w:t>majority</w:t>
            </w:r>
            <w:r w:rsidR="000523AA" w:rsidRPr="00A5561D">
              <w:rPr>
                <w:sz w:val="19"/>
                <w:szCs w:val="19"/>
              </w:rPr>
              <w:t xml:space="preserve"> </w:t>
            </w:r>
            <w:r w:rsidR="00B51755" w:rsidRPr="00A5561D">
              <w:rPr>
                <w:sz w:val="19"/>
                <w:szCs w:val="19"/>
              </w:rPr>
              <w:t>of communities</w:t>
            </w:r>
            <w:r w:rsidR="002F3825" w:rsidRPr="00A5561D">
              <w:rPr>
                <w:sz w:val="19"/>
                <w:szCs w:val="19"/>
              </w:rPr>
              <w:t xml:space="preserve"> (</w:t>
            </w:r>
            <w:r w:rsidR="000C30D3">
              <w:rPr>
                <w:sz w:val="19"/>
                <w:szCs w:val="19"/>
              </w:rPr>
              <w:t>22</w:t>
            </w:r>
            <w:r w:rsidR="002F3825" w:rsidRPr="00A5561D">
              <w:rPr>
                <w:sz w:val="19"/>
                <w:szCs w:val="19"/>
              </w:rPr>
              <w:t>)</w:t>
            </w:r>
            <w:r w:rsidR="00B51755" w:rsidRPr="00A5561D">
              <w:rPr>
                <w:sz w:val="19"/>
                <w:szCs w:val="19"/>
              </w:rPr>
              <w:t xml:space="preserve"> service multifamily dwelling</w:t>
            </w:r>
            <w:r w:rsidR="0026651A" w:rsidRPr="00A5561D">
              <w:rPr>
                <w:sz w:val="19"/>
                <w:szCs w:val="19"/>
              </w:rPr>
              <w:t>s</w:t>
            </w:r>
            <w:r w:rsidR="00B51755" w:rsidRPr="00A5561D">
              <w:rPr>
                <w:sz w:val="19"/>
                <w:szCs w:val="19"/>
              </w:rPr>
              <w:t xml:space="preserve"> directly or through </w:t>
            </w:r>
            <w:r w:rsidR="00E57A7F" w:rsidRPr="00A5561D">
              <w:rPr>
                <w:sz w:val="19"/>
                <w:szCs w:val="19"/>
              </w:rPr>
              <w:t xml:space="preserve">municipally </w:t>
            </w:r>
            <w:r w:rsidR="00B51755" w:rsidRPr="00A5561D">
              <w:rPr>
                <w:sz w:val="19"/>
                <w:szCs w:val="19"/>
              </w:rPr>
              <w:t>contracts with recycling and trash service.</w:t>
            </w:r>
            <w:r w:rsidR="0090184C" w:rsidRPr="00A5561D">
              <w:rPr>
                <w:sz w:val="19"/>
                <w:szCs w:val="19"/>
              </w:rPr>
              <w:t xml:space="preserve"> Multifamily residents are required to recycle</w:t>
            </w:r>
            <w:r w:rsidR="00310E53" w:rsidRPr="00A5561D">
              <w:rPr>
                <w:sz w:val="19"/>
                <w:szCs w:val="19"/>
              </w:rPr>
              <w:t xml:space="preserve"> but are not required to compost</w:t>
            </w:r>
            <w:r w:rsidR="0090184C" w:rsidRPr="00A5561D">
              <w:rPr>
                <w:sz w:val="19"/>
                <w:szCs w:val="19"/>
              </w:rPr>
              <w:t>.</w:t>
            </w:r>
          </w:p>
        </w:tc>
      </w:tr>
      <w:tr w:rsidR="0037039F" w:rsidRPr="00D0303C" w14:paraId="1A5F78D5" w14:textId="77777777" w:rsidTr="00A5561D">
        <w:trPr>
          <w:trHeight w:val="353"/>
        </w:trPr>
        <w:tc>
          <w:tcPr>
            <w:cnfStyle w:val="001000000000" w:firstRow="0" w:lastRow="0" w:firstColumn="1" w:lastColumn="0" w:oddVBand="0" w:evenVBand="0" w:oddHBand="0" w:evenHBand="0" w:firstRowFirstColumn="0" w:firstRowLastColumn="0" w:lastRowFirstColumn="0" w:lastRowLastColumn="0"/>
            <w:tcW w:w="1024" w:type="dxa"/>
          </w:tcPr>
          <w:p w14:paraId="623C6064" w14:textId="7ADBDABA" w:rsidR="00D0303C" w:rsidRPr="00A5561D" w:rsidRDefault="007B3BCE" w:rsidP="00A5561D">
            <w:pPr>
              <w:spacing w:after="120" w:line="240" w:lineRule="auto"/>
              <w:jc w:val="center"/>
              <w:rPr>
                <w:rFonts w:asciiTheme="minorHAnsi" w:hAnsiTheme="minorHAnsi"/>
                <w:sz w:val="19"/>
                <w:szCs w:val="19"/>
              </w:rPr>
            </w:pPr>
            <w:r w:rsidRPr="007B3BCE">
              <w:rPr>
                <w:noProof/>
                <w:sz w:val="36"/>
                <w:szCs w:val="36"/>
              </w:rPr>
              <w:t>●</w:t>
            </w:r>
          </w:p>
        </w:tc>
        <w:tc>
          <w:tcPr>
            <w:tcW w:w="1948" w:type="dxa"/>
          </w:tcPr>
          <w:p w14:paraId="414AC30E" w14:textId="5EC2D75B" w:rsidR="00D0303C" w:rsidRPr="00A5561D" w:rsidRDefault="00FE3D04" w:rsidP="00CF466F">
            <w:pPr>
              <w:spacing w:after="240" w:line="240"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Residential</w:t>
            </w:r>
            <w:r w:rsidR="00CF466F" w:rsidRPr="00A5561D">
              <w:rPr>
                <w:sz w:val="19"/>
                <w:szCs w:val="19"/>
              </w:rPr>
              <w:t xml:space="preserve"> </w:t>
            </w:r>
            <w:r w:rsidR="00D0303C" w:rsidRPr="00A5561D">
              <w:rPr>
                <w:sz w:val="19"/>
                <w:szCs w:val="19"/>
              </w:rPr>
              <w:t>Collection Containers</w:t>
            </w:r>
          </w:p>
        </w:tc>
        <w:tc>
          <w:tcPr>
            <w:tcW w:w="7373" w:type="dxa"/>
          </w:tcPr>
          <w:p w14:paraId="39FDE07C" w14:textId="52A7B781" w:rsidR="0001364D" w:rsidRPr="00A5561D" w:rsidRDefault="0001364D" w:rsidP="00CF466F">
            <w:pPr>
              <w:spacing w:after="240" w:line="240"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 xml:space="preserve">Rolling cart collection containers of </w:t>
            </w:r>
            <w:r w:rsidR="000E0AEE" w:rsidRPr="00A5561D">
              <w:rPr>
                <w:sz w:val="19"/>
                <w:szCs w:val="19"/>
              </w:rPr>
              <w:t xml:space="preserve">the </w:t>
            </w:r>
            <w:r w:rsidRPr="00A5561D">
              <w:rPr>
                <w:sz w:val="19"/>
                <w:szCs w:val="19"/>
              </w:rPr>
              <w:t>appropriate size</w:t>
            </w:r>
            <w:r w:rsidR="006459DF" w:rsidRPr="00A5561D">
              <w:rPr>
                <w:sz w:val="19"/>
                <w:szCs w:val="19"/>
              </w:rPr>
              <w:t xml:space="preserve"> result in a more efficient</w:t>
            </w:r>
            <w:r w:rsidR="00D252A9" w:rsidRPr="00A5561D">
              <w:rPr>
                <w:sz w:val="19"/>
                <w:szCs w:val="19"/>
              </w:rPr>
              <w:t>,</w:t>
            </w:r>
            <w:r w:rsidR="006459DF" w:rsidRPr="00A5561D">
              <w:rPr>
                <w:sz w:val="19"/>
                <w:szCs w:val="19"/>
              </w:rPr>
              <w:t xml:space="preserve"> </w:t>
            </w:r>
            <w:r w:rsidR="000E0AEE" w:rsidRPr="00A5561D">
              <w:rPr>
                <w:sz w:val="19"/>
                <w:szCs w:val="19"/>
              </w:rPr>
              <w:t>cost-effective</w:t>
            </w:r>
            <w:r w:rsidR="006459DF" w:rsidRPr="00A5561D">
              <w:rPr>
                <w:sz w:val="19"/>
                <w:szCs w:val="19"/>
              </w:rPr>
              <w:t xml:space="preserve"> program. This was not identified as a gap. </w:t>
            </w:r>
          </w:p>
          <w:p w14:paraId="3C670494" w14:textId="1D985295" w:rsidR="0001364D" w:rsidRPr="00A5561D" w:rsidRDefault="00845A74" w:rsidP="00CF466F">
            <w:pPr>
              <w:spacing w:after="240" w:line="240" w:lineRule="auto"/>
              <w:jc w:val="left"/>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Twenty-one (21)</w:t>
            </w:r>
            <w:r w:rsidR="00CC07A3" w:rsidRPr="00A5561D">
              <w:rPr>
                <w:sz w:val="19"/>
                <w:szCs w:val="19"/>
              </w:rPr>
              <w:t xml:space="preserve"> communit</w:t>
            </w:r>
            <w:r w:rsidR="00EE1FB7">
              <w:rPr>
                <w:sz w:val="19"/>
                <w:szCs w:val="19"/>
              </w:rPr>
              <w:t>ies</w:t>
            </w:r>
            <w:r w:rsidR="00CC07A3" w:rsidRPr="00A5561D">
              <w:rPr>
                <w:sz w:val="19"/>
                <w:szCs w:val="19"/>
              </w:rPr>
              <w:t xml:space="preserve"> provide </w:t>
            </w:r>
            <w:r w:rsidR="00024428" w:rsidRPr="00A5561D">
              <w:rPr>
                <w:sz w:val="19"/>
                <w:szCs w:val="19"/>
              </w:rPr>
              <w:t>95/96-gallon</w:t>
            </w:r>
            <w:r w:rsidR="00CC07A3" w:rsidRPr="00A5561D">
              <w:rPr>
                <w:sz w:val="19"/>
                <w:szCs w:val="19"/>
              </w:rPr>
              <w:t xml:space="preserve"> recycling containers</w:t>
            </w:r>
            <w:r w:rsidR="00DE6BAE" w:rsidRPr="00A5561D">
              <w:rPr>
                <w:sz w:val="19"/>
                <w:szCs w:val="19"/>
              </w:rPr>
              <w:t xml:space="preserve"> and</w:t>
            </w:r>
            <w:r w:rsidR="00CC07A3" w:rsidRPr="00A5561D">
              <w:rPr>
                <w:sz w:val="19"/>
                <w:szCs w:val="19"/>
              </w:rPr>
              <w:t xml:space="preserve"> </w:t>
            </w:r>
            <w:r w:rsidR="0068223F">
              <w:rPr>
                <w:sz w:val="19"/>
                <w:szCs w:val="19"/>
              </w:rPr>
              <w:t>6</w:t>
            </w:r>
            <w:r w:rsidR="00DA2A92" w:rsidRPr="00A5561D">
              <w:rPr>
                <w:sz w:val="19"/>
                <w:szCs w:val="19"/>
              </w:rPr>
              <w:t xml:space="preserve"> of community respondents provide </w:t>
            </w:r>
            <w:r w:rsidR="00272135" w:rsidRPr="00A5561D">
              <w:rPr>
                <w:sz w:val="19"/>
                <w:szCs w:val="19"/>
              </w:rPr>
              <w:t>64–65-gallon</w:t>
            </w:r>
            <w:r w:rsidR="00DA2A92" w:rsidRPr="00A5561D">
              <w:rPr>
                <w:sz w:val="19"/>
                <w:szCs w:val="19"/>
              </w:rPr>
              <w:t xml:space="preserve"> recycling containers. </w:t>
            </w:r>
          </w:p>
          <w:p w14:paraId="6C29CB0C" w14:textId="520C99F6" w:rsidR="00D0303C" w:rsidRPr="00A5561D" w:rsidRDefault="00845A74" w:rsidP="00CF466F">
            <w:pPr>
              <w:spacing w:after="240" w:line="240" w:lineRule="auto"/>
              <w:jc w:val="left"/>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Eighteen (18)</w:t>
            </w:r>
            <w:r w:rsidR="002B1AA7" w:rsidRPr="00A5561D">
              <w:rPr>
                <w:sz w:val="19"/>
                <w:szCs w:val="19"/>
              </w:rPr>
              <w:t xml:space="preserve"> provide </w:t>
            </w:r>
            <w:r w:rsidR="00024428" w:rsidRPr="00A5561D">
              <w:rPr>
                <w:sz w:val="19"/>
                <w:szCs w:val="19"/>
              </w:rPr>
              <w:t>95</w:t>
            </w:r>
            <w:r w:rsidR="00FE5E7F">
              <w:rPr>
                <w:sz w:val="19"/>
                <w:szCs w:val="19"/>
              </w:rPr>
              <w:t>/96</w:t>
            </w:r>
            <w:r w:rsidR="00024428" w:rsidRPr="00A5561D">
              <w:rPr>
                <w:sz w:val="19"/>
                <w:szCs w:val="19"/>
              </w:rPr>
              <w:t>-gallon</w:t>
            </w:r>
            <w:r w:rsidR="002B1AA7" w:rsidRPr="00A5561D">
              <w:rPr>
                <w:sz w:val="19"/>
                <w:szCs w:val="19"/>
              </w:rPr>
              <w:t xml:space="preserve"> trash c</w:t>
            </w:r>
            <w:r w:rsidR="00FE5E7F">
              <w:rPr>
                <w:sz w:val="19"/>
                <w:szCs w:val="19"/>
              </w:rPr>
              <w:t>arts</w:t>
            </w:r>
            <w:r w:rsidR="00393D2D" w:rsidRPr="00A5561D">
              <w:rPr>
                <w:sz w:val="19"/>
                <w:szCs w:val="19"/>
              </w:rPr>
              <w:t xml:space="preserve">, </w:t>
            </w:r>
            <w:r w:rsidR="009B7A9B">
              <w:rPr>
                <w:sz w:val="19"/>
                <w:szCs w:val="19"/>
              </w:rPr>
              <w:t>five</w:t>
            </w:r>
            <w:r w:rsidR="00FE5E7F">
              <w:rPr>
                <w:sz w:val="19"/>
                <w:szCs w:val="19"/>
              </w:rPr>
              <w:t xml:space="preserve"> communities</w:t>
            </w:r>
            <w:r w:rsidR="00A31A22" w:rsidRPr="00A5561D">
              <w:rPr>
                <w:sz w:val="19"/>
                <w:szCs w:val="19"/>
              </w:rPr>
              <w:t xml:space="preserve"> provide </w:t>
            </w:r>
            <w:r w:rsidR="00272135" w:rsidRPr="00A5561D">
              <w:rPr>
                <w:sz w:val="19"/>
                <w:szCs w:val="19"/>
              </w:rPr>
              <w:t>65-gallon</w:t>
            </w:r>
            <w:r w:rsidR="00595A1C" w:rsidRPr="00A5561D">
              <w:rPr>
                <w:sz w:val="19"/>
                <w:szCs w:val="19"/>
              </w:rPr>
              <w:t xml:space="preserve"> trash containers</w:t>
            </w:r>
            <w:r w:rsidR="00393D2D" w:rsidRPr="00A5561D">
              <w:rPr>
                <w:sz w:val="19"/>
                <w:szCs w:val="19"/>
              </w:rPr>
              <w:t>,</w:t>
            </w:r>
            <w:r w:rsidR="00DE6BAE" w:rsidRPr="00A5561D">
              <w:rPr>
                <w:sz w:val="19"/>
                <w:szCs w:val="19"/>
              </w:rPr>
              <w:t xml:space="preserve"> and</w:t>
            </w:r>
            <w:r w:rsidR="00595A1C" w:rsidRPr="00A5561D">
              <w:rPr>
                <w:sz w:val="19"/>
                <w:szCs w:val="19"/>
              </w:rPr>
              <w:t xml:space="preserve"> </w:t>
            </w:r>
            <w:r w:rsidR="009B7A9B">
              <w:rPr>
                <w:sz w:val="19"/>
                <w:szCs w:val="19"/>
              </w:rPr>
              <w:t>two</w:t>
            </w:r>
            <w:r w:rsidR="00CF4751">
              <w:rPr>
                <w:sz w:val="19"/>
                <w:szCs w:val="19"/>
              </w:rPr>
              <w:t xml:space="preserve"> communities</w:t>
            </w:r>
            <w:r w:rsidR="00D07326" w:rsidRPr="00A5561D">
              <w:rPr>
                <w:sz w:val="19"/>
                <w:szCs w:val="19"/>
              </w:rPr>
              <w:t xml:space="preserve"> have a range of sizes for </w:t>
            </w:r>
            <w:r w:rsidR="00A11471">
              <w:rPr>
                <w:sz w:val="19"/>
                <w:szCs w:val="19"/>
              </w:rPr>
              <w:t>a unit-based pricing program</w:t>
            </w:r>
            <w:r w:rsidR="00D07326" w:rsidRPr="00A5561D">
              <w:rPr>
                <w:sz w:val="19"/>
                <w:szCs w:val="19"/>
              </w:rPr>
              <w:t xml:space="preserve">. </w:t>
            </w:r>
          </w:p>
        </w:tc>
      </w:tr>
      <w:tr w:rsidR="0037039F" w:rsidRPr="00D0303C" w14:paraId="5DB62D36" w14:textId="77777777" w:rsidTr="00A5561D">
        <w:trPr>
          <w:trHeight w:val="353"/>
        </w:trPr>
        <w:tc>
          <w:tcPr>
            <w:cnfStyle w:val="001000000000" w:firstRow="0" w:lastRow="0" w:firstColumn="1" w:lastColumn="0" w:oddVBand="0" w:evenVBand="0" w:oddHBand="0" w:evenHBand="0" w:firstRowFirstColumn="0" w:firstRowLastColumn="0" w:lastRowFirstColumn="0" w:lastRowLastColumn="0"/>
            <w:tcW w:w="1024" w:type="dxa"/>
            <w:vAlign w:val="top"/>
          </w:tcPr>
          <w:p w14:paraId="00238F6D" w14:textId="77777777" w:rsidR="004A66C6" w:rsidRPr="00A5561D" w:rsidRDefault="004A66C6" w:rsidP="00A5561D">
            <w:pPr>
              <w:spacing w:after="120" w:line="240" w:lineRule="auto"/>
              <w:jc w:val="center"/>
              <w:rPr>
                <w:sz w:val="19"/>
                <w:szCs w:val="19"/>
              </w:rPr>
            </w:pPr>
          </w:p>
          <w:p w14:paraId="5BAB4564" w14:textId="78DAE22B" w:rsidR="00D0303C" w:rsidRPr="00A5561D" w:rsidRDefault="00A40BDB" w:rsidP="00A5561D">
            <w:pPr>
              <w:spacing w:after="120" w:line="240" w:lineRule="auto"/>
              <w:jc w:val="center"/>
              <w:rPr>
                <w:rFonts w:asciiTheme="minorHAnsi" w:hAnsiTheme="minorHAnsi"/>
                <w:sz w:val="19"/>
                <w:szCs w:val="19"/>
              </w:rPr>
            </w:pPr>
            <w:r w:rsidRPr="00A5561D">
              <w:rPr>
                <w:rFonts w:ascii="Segoe UI Symbol" w:hAnsi="Segoe UI Symbol" w:cs="Segoe UI Symbol"/>
                <w:sz w:val="19"/>
                <w:szCs w:val="19"/>
              </w:rPr>
              <w:t>◑</w:t>
            </w:r>
          </w:p>
        </w:tc>
        <w:tc>
          <w:tcPr>
            <w:tcW w:w="1948" w:type="dxa"/>
            <w:vAlign w:val="top"/>
          </w:tcPr>
          <w:p w14:paraId="72A32BF9" w14:textId="77777777" w:rsidR="004A66C6" w:rsidRPr="00A5561D" w:rsidRDefault="004A66C6" w:rsidP="00CF466F">
            <w:pPr>
              <w:spacing w:after="240" w:line="240" w:lineRule="auto"/>
              <w:jc w:val="left"/>
              <w:cnfStyle w:val="000000000000" w:firstRow="0" w:lastRow="0" w:firstColumn="0" w:lastColumn="0" w:oddVBand="0" w:evenVBand="0" w:oddHBand="0" w:evenHBand="0" w:firstRowFirstColumn="0" w:firstRowLastColumn="0" w:lastRowFirstColumn="0" w:lastRowLastColumn="0"/>
              <w:rPr>
                <w:sz w:val="19"/>
                <w:szCs w:val="19"/>
              </w:rPr>
            </w:pPr>
          </w:p>
          <w:p w14:paraId="5491E824" w14:textId="60E60037" w:rsidR="00D0303C" w:rsidRPr="00A5561D" w:rsidRDefault="00D0303C" w:rsidP="00CF466F">
            <w:pPr>
              <w:spacing w:after="240" w:line="240"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 xml:space="preserve">Commercial </w:t>
            </w:r>
            <w:r w:rsidR="00B23A89" w:rsidRPr="00A5561D">
              <w:rPr>
                <w:sz w:val="19"/>
                <w:szCs w:val="19"/>
              </w:rPr>
              <w:t>P</w:t>
            </w:r>
            <w:r w:rsidRPr="00A5561D">
              <w:rPr>
                <w:sz w:val="19"/>
                <w:szCs w:val="19"/>
              </w:rPr>
              <w:t xml:space="preserve">rogramming </w:t>
            </w:r>
          </w:p>
        </w:tc>
        <w:tc>
          <w:tcPr>
            <w:tcW w:w="7373" w:type="dxa"/>
          </w:tcPr>
          <w:p w14:paraId="7C90C7EC" w14:textId="09B45B47" w:rsidR="00A40BDB" w:rsidRPr="00A5561D" w:rsidRDefault="00F067B2" w:rsidP="00CF466F">
            <w:pPr>
              <w:spacing w:after="240" w:line="240" w:lineRule="auto"/>
              <w:jc w:val="left"/>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R</w:t>
            </w:r>
            <w:r w:rsidR="00310E53" w:rsidRPr="00A5561D">
              <w:rPr>
                <w:sz w:val="19"/>
                <w:szCs w:val="19"/>
              </w:rPr>
              <w:t xml:space="preserve">ecycling </w:t>
            </w:r>
            <w:r>
              <w:rPr>
                <w:sz w:val="19"/>
                <w:szCs w:val="19"/>
              </w:rPr>
              <w:t xml:space="preserve">is required for all commercial entities </w:t>
            </w:r>
            <w:r w:rsidR="00310E53" w:rsidRPr="00A5561D">
              <w:rPr>
                <w:sz w:val="19"/>
                <w:szCs w:val="19"/>
              </w:rPr>
              <w:t xml:space="preserve">and </w:t>
            </w:r>
            <w:r w:rsidR="00A2114E" w:rsidRPr="00A5561D">
              <w:rPr>
                <w:sz w:val="19"/>
                <w:szCs w:val="19"/>
              </w:rPr>
              <w:t>source</w:t>
            </w:r>
            <w:r w:rsidR="0055305A" w:rsidRPr="00A5561D">
              <w:rPr>
                <w:sz w:val="19"/>
                <w:szCs w:val="19"/>
              </w:rPr>
              <w:t xml:space="preserve"> separated food waste collection is required </w:t>
            </w:r>
            <w:r w:rsidR="00310E53" w:rsidRPr="00A5561D">
              <w:rPr>
                <w:sz w:val="19"/>
                <w:szCs w:val="19"/>
              </w:rPr>
              <w:t>for</w:t>
            </w:r>
            <w:r w:rsidR="00B82E08" w:rsidRPr="00A5561D">
              <w:rPr>
                <w:sz w:val="19"/>
                <w:szCs w:val="19"/>
              </w:rPr>
              <w:t xml:space="preserve"> specific</w:t>
            </w:r>
            <w:r w:rsidR="00310E53" w:rsidRPr="00A5561D">
              <w:rPr>
                <w:sz w:val="19"/>
                <w:szCs w:val="19"/>
              </w:rPr>
              <w:t xml:space="preserve"> large quantity generators</w:t>
            </w:r>
            <w:r w:rsidR="00542B75" w:rsidRPr="00A5561D">
              <w:rPr>
                <w:sz w:val="19"/>
                <w:szCs w:val="19"/>
              </w:rPr>
              <w:t xml:space="preserve"> within 20 miles of a facility</w:t>
            </w:r>
            <w:r w:rsidR="00310E53" w:rsidRPr="00A5561D">
              <w:rPr>
                <w:sz w:val="19"/>
                <w:szCs w:val="19"/>
              </w:rPr>
              <w:t xml:space="preserve">. </w:t>
            </w:r>
            <w:r w:rsidR="001178C7" w:rsidRPr="00A5561D">
              <w:rPr>
                <w:sz w:val="19"/>
                <w:szCs w:val="19"/>
              </w:rPr>
              <w:t xml:space="preserve">While businesses in Hartford are covered by this requirement, many </w:t>
            </w:r>
            <w:r w:rsidR="00702189" w:rsidRPr="00A5561D">
              <w:rPr>
                <w:sz w:val="19"/>
                <w:szCs w:val="19"/>
              </w:rPr>
              <w:t xml:space="preserve">communities are outside of the </w:t>
            </w:r>
            <w:r w:rsidR="00B5651B" w:rsidRPr="00A5561D">
              <w:rPr>
                <w:sz w:val="19"/>
                <w:szCs w:val="19"/>
              </w:rPr>
              <w:t>20-mile</w:t>
            </w:r>
            <w:r w:rsidR="00702189" w:rsidRPr="00A5561D">
              <w:rPr>
                <w:sz w:val="19"/>
                <w:szCs w:val="19"/>
              </w:rPr>
              <w:t xml:space="preserve"> range of a facility collecting food waste which triggers participation in the program. </w:t>
            </w:r>
          </w:p>
          <w:p w14:paraId="5801F6BD" w14:textId="341184D5" w:rsidR="00FB701B" w:rsidRPr="00A5561D" w:rsidRDefault="009E3637" w:rsidP="00CF466F">
            <w:pPr>
              <w:spacing w:after="240" w:line="240"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 xml:space="preserve">Collection of food waste from </w:t>
            </w:r>
            <w:r w:rsidR="004116D9" w:rsidRPr="00A5561D">
              <w:rPr>
                <w:sz w:val="19"/>
                <w:szCs w:val="19"/>
              </w:rPr>
              <w:t xml:space="preserve">both residents and businesses was 77 tons in 2019 indicating very minimal participation from all sectors. </w:t>
            </w:r>
          </w:p>
          <w:p w14:paraId="1A5CC791" w14:textId="135597A9" w:rsidR="009E3637" w:rsidRPr="00A5561D" w:rsidRDefault="00FB701B" w:rsidP="00CF466F">
            <w:pPr>
              <w:spacing w:after="240" w:line="240"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Only one hauler was identified providing commercial food waste collection indicating a potential gap</w:t>
            </w:r>
            <w:r w:rsidR="0044167F" w:rsidRPr="00A5561D">
              <w:rPr>
                <w:sz w:val="19"/>
                <w:szCs w:val="19"/>
              </w:rPr>
              <w:t xml:space="preserve"> in service providers</w:t>
            </w:r>
            <w:r w:rsidR="0082311E" w:rsidRPr="00A5561D">
              <w:rPr>
                <w:sz w:val="19"/>
                <w:szCs w:val="19"/>
              </w:rPr>
              <w:t>.</w:t>
            </w:r>
          </w:p>
          <w:p w14:paraId="7C838C9C" w14:textId="6B24E8EB" w:rsidR="00D0303C" w:rsidRPr="00A5561D" w:rsidRDefault="00DC6BDB" w:rsidP="00CF466F">
            <w:pPr>
              <w:spacing w:after="240" w:line="240"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Opportunities exist for increased participation and compliance with the requirements</w:t>
            </w:r>
            <w:r w:rsidR="009A3424" w:rsidRPr="00A5561D">
              <w:rPr>
                <w:sz w:val="19"/>
                <w:szCs w:val="19"/>
              </w:rPr>
              <w:t xml:space="preserve"> as well as to extend the requirements to more business types</w:t>
            </w:r>
            <w:r w:rsidRPr="00A5561D">
              <w:rPr>
                <w:sz w:val="19"/>
                <w:szCs w:val="19"/>
              </w:rPr>
              <w:t xml:space="preserve">. </w:t>
            </w:r>
          </w:p>
        </w:tc>
      </w:tr>
      <w:tr w:rsidR="0037039F" w:rsidRPr="00D0303C" w14:paraId="1D2BCB67" w14:textId="77777777" w:rsidTr="00A5561D">
        <w:trPr>
          <w:trHeight w:val="20"/>
        </w:trPr>
        <w:tc>
          <w:tcPr>
            <w:cnfStyle w:val="001000000000" w:firstRow="0" w:lastRow="0" w:firstColumn="1" w:lastColumn="0" w:oddVBand="0" w:evenVBand="0" w:oddHBand="0" w:evenHBand="0" w:firstRowFirstColumn="0" w:firstRowLastColumn="0" w:lastRowFirstColumn="0" w:lastRowLastColumn="0"/>
            <w:tcW w:w="1024" w:type="dxa"/>
            <w:vAlign w:val="top"/>
          </w:tcPr>
          <w:p w14:paraId="6D535DAA" w14:textId="77777777" w:rsidR="004A66C6" w:rsidRPr="00A5561D" w:rsidRDefault="004A66C6" w:rsidP="00A5561D">
            <w:pPr>
              <w:spacing w:after="120" w:line="240" w:lineRule="auto"/>
              <w:jc w:val="center"/>
              <w:rPr>
                <w:noProof/>
                <w:sz w:val="19"/>
                <w:szCs w:val="19"/>
              </w:rPr>
            </w:pPr>
          </w:p>
          <w:p w14:paraId="25CBDFAC" w14:textId="3571E462" w:rsidR="00D0303C" w:rsidRPr="00A5561D" w:rsidRDefault="00145951" w:rsidP="00A5561D">
            <w:pPr>
              <w:spacing w:after="120" w:line="240" w:lineRule="auto"/>
              <w:jc w:val="center"/>
              <w:rPr>
                <w:rFonts w:asciiTheme="minorHAnsi" w:hAnsiTheme="minorHAnsi"/>
                <w:sz w:val="19"/>
                <w:szCs w:val="19"/>
              </w:rPr>
            </w:pPr>
            <w:r w:rsidRPr="00A5561D">
              <w:rPr>
                <w:rFonts w:ascii="Segoe UI Symbol" w:hAnsi="Segoe UI Symbol" w:cs="Segoe UI Symbol"/>
                <w:noProof/>
                <w:sz w:val="19"/>
                <w:szCs w:val="19"/>
              </w:rPr>
              <w:t>◕</w:t>
            </w:r>
          </w:p>
        </w:tc>
        <w:tc>
          <w:tcPr>
            <w:tcW w:w="1948" w:type="dxa"/>
            <w:vAlign w:val="top"/>
          </w:tcPr>
          <w:p w14:paraId="34517E95" w14:textId="77777777" w:rsidR="004A66C6" w:rsidRPr="00A5561D" w:rsidRDefault="004A66C6" w:rsidP="00CF466F">
            <w:pPr>
              <w:spacing w:after="240" w:line="240" w:lineRule="auto"/>
              <w:jc w:val="left"/>
              <w:cnfStyle w:val="000000000000" w:firstRow="0" w:lastRow="0" w:firstColumn="0" w:lastColumn="0" w:oddVBand="0" w:evenVBand="0" w:oddHBand="0" w:evenHBand="0" w:firstRowFirstColumn="0" w:firstRowLastColumn="0" w:lastRowFirstColumn="0" w:lastRowLastColumn="0"/>
              <w:rPr>
                <w:sz w:val="19"/>
                <w:szCs w:val="19"/>
              </w:rPr>
            </w:pPr>
          </w:p>
          <w:p w14:paraId="19509FA8" w14:textId="3CAF836B" w:rsidR="00D0303C" w:rsidRPr="00A5561D" w:rsidRDefault="00D0303C" w:rsidP="00CF466F">
            <w:pPr>
              <w:spacing w:after="240" w:line="240"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Drop-offs</w:t>
            </w:r>
          </w:p>
        </w:tc>
        <w:tc>
          <w:tcPr>
            <w:tcW w:w="7373" w:type="dxa"/>
          </w:tcPr>
          <w:p w14:paraId="45099F29" w14:textId="0E3799E9" w:rsidR="00D0303C" w:rsidRPr="00A5561D" w:rsidRDefault="00754220" w:rsidP="00A5561D">
            <w:pPr>
              <w:spacing w:after="240" w:line="240" w:lineRule="auto"/>
              <w:jc w:val="left"/>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Twenty-six (</w:t>
            </w:r>
            <w:r w:rsidR="00580E52">
              <w:rPr>
                <w:sz w:val="19"/>
                <w:szCs w:val="19"/>
              </w:rPr>
              <w:t>26</w:t>
            </w:r>
            <w:r>
              <w:rPr>
                <w:sz w:val="19"/>
                <w:szCs w:val="19"/>
              </w:rPr>
              <w:t>)</w:t>
            </w:r>
            <w:r w:rsidR="00C35ED8" w:rsidRPr="00A5561D">
              <w:rPr>
                <w:sz w:val="19"/>
                <w:szCs w:val="19"/>
              </w:rPr>
              <w:t xml:space="preserve"> communit</w:t>
            </w:r>
            <w:r w:rsidR="001855A7">
              <w:rPr>
                <w:sz w:val="19"/>
                <w:szCs w:val="19"/>
              </w:rPr>
              <w:t>ies</w:t>
            </w:r>
            <w:r w:rsidR="00C35ED8" w:rsidRPr="00A5561D">
              <w:rPr>
                <w:sz w:val="19"/>
                <w:szCs w:val="19"/>
              </w:rPr>
              <w:t xml:space="preserve"> have some form of drop off program available</w:t>
            </w:r>
            <w:r w:rsidR="00580E52">
              <w:rPr>
                <w:sz w:val="19"/>
                <w:szCs w:val="19"/>
              </w:rPr>
              <w:t xml:space="preserve"> for recyclables or organics</w:t>
            </w:r>
            <w:r w:rsidR="003A0335" w:rsidRPr="00A5561D">
              <w:rPr>
                <w:sz w:val="19"/>
                <w:szCs w:val="19"/>
              </w:rPr>
              <w:t>. These range from one community that provides a cardboard only drop off to those that provide a suite of drop off services</w:t>
            </w:r>
            <w:r w:rsidR="00073DE1" w:rsidRPr="00A5561D">
              <w:rPr>
                <w:sz w:val="19"/>
                <w:szCs w:val="19"/>
              </w:rPr>
              <w:t>,</w:t>
            </w:r>
            <w:r w:rsidR="003A0335" w:rsidRPr="00A5561D">
              <w:rPr>
                <w:sz w:val="19"/>
                <w:szCs w:val="19"/>
              </w:rPr>
              <w:t xml:space="preserve"> including food waste</w:t>
            </w:r>
            <w:r w:rsidR="00BE635E" w:rsidRPr="00A5561D">
              <w:rPr>
                <w:sz w:val="19"/>
                <w:szCs w:val="19"/>
              </w:rPr>
              <w:t xml:space="preserve"> and bulky</w:t>
            </w:r>
            <w:r w:rsidR="003A0335" w:rsidRPr="00A5561D">
              <w:rPr>
                <w:sz w:val="19"/>
                <w:szCs w:val="19"/>
              </w:rPr>
              <w:t xml:space="preserve"> and hard to recycle </w:t>
            </w:r>
            <w:r w:rsidR="00BE635E" w:rsidRPr="00A5561D">
              <w:rPr>
                <w:sz w:val="19"/>
                <w:szCs w:val="19"/>
              </w:rPr>
              <w:t>materials.</w:t>
            </w:r>
            <w:r w:rsidR="008307B4" w:rsidRPr="00A5561D">
              <w:rPr>
                <w:sz w:val="19"/>
                <w:szCs w:val="19"/>
              </w:rPr>
              <w:t xml:space="preserve"> Some requir</w:t>
            </w:r>
            <w:r w:rsidR="00580AE2" w:rsidRPr="00A5561D">
              <w:rPr>
                <w:sz w:val="19"/>
                <w:szCs w:val="19"/>
              </w:rPr>
              <w:t>e permits (mix of free and paid).</w:t>
            </w:r>
            <w:r w:rsidR="00045E14" w:rsidRPr="00A5561D">
              <w:rPr>
                <w:sz w:val="19"/>
                <w:szCs w:val="19"/>
              </w:rPr>
              <w:t xml:space="preserve"> A best practice is </w:t>
            </w:r>
            <w:r w:rsidR="00BA0713" w:rsidRPr="00A5561D">
              <w:rPr>
                <w:sz w:val="19"/>
                <w:szCs w:val="19"/>
              </w:rPr>
              <w:t xml:space="preserve">for households to have drop off facility access within 20 </w:t>
            </w:r>
            <w:r w:rsidR="00B5651B" w:rsidRPr="00A5561D">
              <w:rPr>
                <w:sz w:val="19"/>
                <w:szCs w:val="19"/>
              </w:rPr>
              <w:t>minutes’ drive</w:t>
            </w:r>
            <w:r w:rsidR="00BA0713" w:rsidRPr="00A5561D">
              <w:rPr>
                <w:sz w:val="19"/>
                <w:szCs w:val="19"/>
              </w:rPr>
              <w:t xml:space="preserve"> time </w:t>
            </w:r>
            <w:r w:rsidR="004E5097" w:rsidRPr="00A5561D">
              <w:rPr>
                <w:sz w:val="19"/>
                <w:szCs w:val="19"/>
              </w:rPr>
              <w:t xml:space="preserve">in urban and suburban regions and along commonly driven routes in rural regions. </w:t>
            </w:r>
            <w:r w:rsidR="008461CA" w:rsidRPr="00A5561D">
              <w:rPr>
                <w:sz w:val="19"/>
                <w:szCs w:val="19"/>
              </w:rPr>
              <w:t xml:space="preserve">Drop-off facilities have not been evaluated in terms of number of facilities and </w:t>
            </w:r>
            <w:r w:rsidR="008E0330" w:rsidRPr="00A5561D">
              <w:rPr>
                <w:sz w:val="19"/>
                <w:szCs w:val="19"/>
              </w:rPr>
              <w:t>distance from households.</w:t>
            </w:r>
          </w:p>
        </w:tc>
      </w:tr>
      <w:tr w:rsidR="0037039F" w:rsidRPr="00D0303C" w14:paraId="17320795" w14:textId="77777777" w:rsidTr="00A5561D">
        <w:trPr>
          <w:trHeight w:val="353"/>
        </w:trPr>
        <w:tc>
          <w:tcPr>
            <w:cnfStyle w:val="001000000000" w:firstRow="0" w:lastRow="0" w:firstColumn="1" w:lastColumn="0" w:oddVBand="0" w:evenVBand="0" w:oddHBand="0" w:evenHBand="0" w:firstRowFirstColumn="0" w:firstRowLastColumn="0" w:lastRowFirstColumn="0" w:lastRowLastColumn="0"/>
            <w:tcW w:w="1024" w:type="dxa"/>
          </w:tcPr>
          <w:p w14:paraId="667416FB" w14:textId="1DAEF07D" w:rsidR="00D0303C" w:rsidRPr="00A5561D" w:rsidRDefault="007C15B8" w:rsidP="00A5561D">
            <w:pPr>
              <w:spacing w:after="120" w:line="240" w:lineRule="auto"/>
              <w:jc w:val="center"/>
              <w:rPr>
                <w:rFonts w:asciiTheme="minorHAnsi" w:hAnsiTheme="minorHAnsi"/>
                <w:sz w:val="19"/>
                <w:szCs w:val="19"/>
              </w:rPr>
            </w:pPr>
            <w:r w:rsidRPr="00A5561D">
              <w:rPr>
                <w:rFonts w:ascii="Segoe UI Symbol" w:hAnsi="Segoe UI Symbol" w:cs="Segoe UI Symbol"/>
                <w:noProof/>
                <w:sz w:val="19"/>
                <w:szCs w:val="19"/>
              </w:rPr>
              <w:t>◕</w:t>
            </w:r>
          </w:p>
        </w:tc>
        <w:tc>
          <w:tcPr>
            <w:tcW w:w="1948" w:type="dxa"/>
          </w:tcPr>
          <w:p w14:paraId="0EA28789" w14:textId="125B372C" w:rsidR="00D0303C" w:rsidRPr="00A5561D" w:rsidRDefault="003D081C" w:rsidP="00CF466F">
            <w:pPr>
              <w:spacing w:after="240" w:line="240"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 xml:space="preserve">Single Family </w:t>
            </w:r>
            <w:r w:rsidR="00337E64" w:rsidRPr="00A5561D">
              <w:rPr>
                <w:sz w:val="19"/>
                <w:szCs w:val="19"/>
              </w:rPr>
              <w:t xml:space="preserve">Recycling </w:t>
            </w:r>
            <w:r w:rsidRPr="00A5561D">
              <w:rPr>
                <w:sz w:val="19"/>
                <w:szCs w:val="19"/>
              </w:rPr>
              <w:t>Access</w:t>
            </w:r>
          </w:p>
        </w:tc>
        <w:tc>
          <w:tcPr>
            <w:tcW w:w="7373" w:type="dxa"/>
          </w:tcPr>
          <w:p w14:paraId="0C3638E9" w14:textId="71E0207D" w:rsidR="00D0303C" w:rsidRPr="00A5561D" w:rsidRDefault="00024851" w:rsidP="00CF466F">
            <w:pPr>
              <w:spacing w:after="240" w:line="240"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 xml:space="preserve">All community </w:t>
            </w:r>
            <w:r w:rsidR="00E62E13" w:rsidRPr="00A5561D">
              <w:rPr>
                <w:sz w:val="19"/>
                <w:szCs w:val="19"/>
              </w:rPr>
              <w:t>respondents</w:t>
            </w:r>
            <w:r w:rsidRPr="00A5561D">
              <w:rPr>
                <w:sz w:val="19"/>
                <w:szCs w:val="19"/>
              </w:rPr>
              <w:t xml:space="preserve"> directly providing trash services also </w:t>
            </w:r>
            <w:r w:rsidR="00E62E13" w:rsidRPr="00A5561D">
              <w:rPr>
                <w:sz w:val="19"/>
                <w:szCs w:val="19"/>
              </w:rPr>
              <w:t>directly</w:t>
            </w:r>
            <w:r w:rsidRPr="00A5561D">
              <w:rPr>
                <w:sz w:val="19"/>
                <w:szCs w:val="19"/>
              </w:rPr>
              <w:t xml:space="preserve"> provided recycling services. </w:t>
            </w:r>
            <w:r w:rsidR="00754220">
              <w:rPr>
                <w:sz w:val="19"/>
                <w:szCs w:val="19"/>
              </w:rPr>
              <w:t>Seven (</w:t>
            </w:r>
            <w:r w:rsidR="007B7E48">
              <w:rPr>
                <w:sz w:val="19"/>
                <w:szCs w:val="19"/>
              </w:rPr>
              <w:t>7</w:t>
            </w:r>
            <w:r w:rsidR="00754220">
              <w:rPr>
                <w:sz w:val="19"/>
                <w:szCs w:val="19"/>
              </w:rPr>
              <w:t>)</w:t>
            </w:r>
            <w:r w:rsidR="007B7E48">
              <w:rPr>
                <w:sz w:val="19"/>
                <w:szCs w:val="19"/>
              </w:rPr>
              <w:t xml:space="preserve"> </w:t>
            </w:r>
            <w:r w:rsidR="00754220">
              <w:rPr>
                <w:sz w:val="19"/>
                <w:szCs w:val="19"/>
              </w:rPr>
              <w:t>communities</w:t>
            </w:r>
            <w:r w:rsidR="00A11B66" w:rsidRPr="00A5561D">
              <w:rPr>
                <w:sz w:val="19"/>
                <w:szCs w:val="19"/>
              </w:rPr>
              <w:t xml:space="preserve"> noted subscription trash</w:t>
            </w:r>
            <w:r w:rsidR="007B7E48">
              <w:rPr>
                <w:sz w:val="19"/>
                <w:szCs w:val="19"/>
              </w:rPr>
              <w:t xml:space="preserve"> services</w:t>
            </w:r>
            <w:r w:rsidR="00A11B66" w:rsidRPr="00A5561D">
              <w:rPr>
                <w:sz w:val="19"/>
                <w:szCs w:val="19"/>
              </w:rPr>
              <w:t xml:space="preserve"> and </w:t>
            </w:r>
            <w:r w:rsidR="00754220">
              <w:rPr>
                <w:sz w:val="19"/>
                <w:szCs w:val="19"/>
              </w:rPr>
              <w:t>six (6)</w:t>
            </w:r>
            <w:r w:rsidR="00C629A8">
              <w:rPr>
                <w:sz w:val="19"/>
                <w:szCs w:val="19"/>
              </w:rPr>
              <w:t xml:space="preserve"> noted subscription </w:t>
            </w:r>
            <w:r w:rsidR="00A11B66" w:rsidRPr="00A5561D">
              <w:rPr>
                <w:sz w:val="19"/>
                <w:szCs w:val="19"/>
              </w:rPr>
              <w:t xml:space="preserve">recycling services. </w:t>
            </w:r>
          </w:p>
        </w:tc>
      </w:tr>
      <w:tr w:rsidR="0037039F" w:rsidRPr="00D0303C" w14:paraId="6DEE7BB9" w14:textId="77777777" w:rsidTr="00A5561D">
        <w:trPr>
          <w:trHeight w:val="353"/>
        </w:trPr>
        <w:tc>
          <w:tcPr>
            <w:cnfStyle w:val="001000000000" w:firstRow="0" w:lastRow="0" w:firstColumn="1" w:lastColumn="0" w:oddVBand="0" w:evenVBand="0" w:oddHBand="0" w:evenHBand="0" w:firstRowFirstColumn="0" w:firstRowLastColumn="0" w:lastRowFirstColumn="0" w:lastRowLastColumn="0"/>
            <w:tcW w:w="1024" w:type="dxa"/>
          </w:tcPr>
          <w:p w14:paraId="755996CC" w14:textId="24390663" w:rsidR="00D0303C" w:rsidRPr="00A5561D" w:rsidRDefault="007C15B8" w:rsidP="00A5561D">
            <w:pPr>
              <w:spacing w:after="120" w:line="240" w:lineRule="auto"/>
              <w:jc w:val="center"/>
              <w:rPr>
                <w:rFonts w:asciiTheme="minorHAnsi" w:hAnsiTheme="minorHAnsi"/>
                <w:sz w:val="19"/>
                <w:szCs w:val="19"/>
              </w:rPr>
            </w:pPr>
            <w:r w:rsidRPr="00A5561D">
              <w:rPr>
                <w:rFonts w:ascii="Segoe UI Symbol" w:hAnsi="Segoe UI Symbol" w:cs="Segoe UI Symbol"/>
                <w:sz w:val="19"/>
                <w:szCs w:val="19"/>
              </w:rPr>
              <w:t>◑</w:t>
            </w:r>
          </w:p>
        </w:tc>
        <w:tc>
          <w:tcPr>
            <w:tcW w:w="1948" w:type="dxa"/>
          </w:tcPr>
          <w:p w14:paraId="08FB0EBE" w14:textId="02A852EE" w:rsidR="00D0303C" w:rsidRPr="00A5561D" w:rsidRDefault="00D0303C" w:rsidP="00CF466F">
            <w:pPr>
              <w:spacing w:after="240" w:line="240"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Weekly</w:t>
            </w:r>
            <w:r w:rsidR="00B23A89" w:rsidRPr="00A5561D">
              <w:rPr>
                <w:sz w:val="19"/>
                <w:szCs w:val="19"/>
              </w:rPr>
              <w:t xml:space="preserve"> C</w:t>
            </w:r>
            <w:r w:rsidRPr="00A5561D">
              <w:rPr>
                <w:sz w:val="19"/>
                <w:szCs w:val="19"/>
              </w:rPr>
              <w:t xml:space="preserve">ollection of </w:t>
            </w:r>
            <w:r w:rsidR="00397D11" w:rsidRPr="00A5561D">
              <w:rPr>
                <w:sz w:val="19"/>
                <w:szCs w:val="19"/>
              </w:rPr>
              <w:t>R</w:t>
            </w:r>
            <w:r w:rsidRPr="00A5561D">
              <w:rPr>
                <w:sz w:val="19"/>
                <w:szCs w:val="19"/>
              </w:rPr>
              <w:t>ecyclables</w:t>
            </w:r>
          </w:p>
        </w:tc>
        <w:tc>
          <w:tcPr>
            <w:tcW w:w="7373" w:type="dxa"/>
          </w:tcPr>
          <w:p w14:paraId="2271419A" w14:textId="7BC6BD50" w:rsidR="00D0303C" w:rsidRPr="00A5561D" w:rsidRDefault="007C15B8" w:rsidP="00CF466F">
            <w:pPr>
              <w:spacing w:after="240" w:line="240"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 xml:space="preserve">Increased collection volumes are associated with weekly curbside collection of </w:t>
            </w:r>
            <w:r w:rsidR="008A5E6E">
              <w:rPr>
                <w:sz w:val="19"/>
                <w:szCs w:val="19"/>
              </w:rPr>
              <w:t xml:space="preserve">residential </w:t>
            </w:r>
            <w:r w:rsidRPr="00A5561D">
              <w:rPr>
                <w:sz w:val="19"/>
                <w:szCs w:val="19"/>
              </w:rPr>
              <w:t xml:space="preserve">recyclables. </w:t>
            </w:r>
            <w:r w:rsidR="00754220">
              <w:rPr>
                <w:sz w:val="19"/>
                <w:szCs w:val="19"/>
              </w:rPr>
              <w:t>Nine (</w:t>
            </w:r>
            <w:r w:rsidR="00D96524">
              <w:rPr>
                <w:sz w:val="19"/>
                <w:szCs w:val="19"/>
              </w:rPr>
              <w:t>9</w:t>
            </w:r>
            <w:r w:rsidR="00754220">
              <w:rPr>
                <w:sz w:val="19"/>
                <w:szCs w:val="19"/>
              </w:rPr>
              <w:t>)</w:t>
            </w:r>
            <w:r w:rsidR="00E16434" w:rsidRPr="00A5561D">
              <w:rPr>
                <w:sz w:val="19"/>
                <w:szCs w:val="19"/>
              </w:rPr>
              <w:t xml:space="preserve"> </w:t>
            </w:r>
            <w:r w:rsidR="0038210D" w:rsidRPr="00A5561D">
              <w:rPr>
                <w:sz w:val="19"/>
                <w:szCs w:val="19"/>
              </w:rPr>
              <w:t>communi</w:t>
            </w:r>
            <w:r w:rsidR="00D96524">
              <w:rPr>
                <w:sz w:val="19"/>
                <w:szCs w:val="19"/>
              </w:rPr>
              <w:t>ties</w:t>
            </w:r>
            <w:r w:rsidR="0038210D" w:rsidRPr="00A5561D">
              <w:rPr>
                <w:sz w:val="19"/>
                <w:szCs w:val="19"/>
              </w:rPr>
              <w:t xml:space="preserve"> </w:t>
            </w:r>
            <w:r w:rsidR="005312EF">
              <w:rPr>
                <w:sz w:val="19"/>
                <w:szCs w:val="19"/>
              </w:rPr>
              <w:t>collect</w:t>
            </w:r>
            <w:r w:rsidR="0038210D" w:rsidRPr="00A5561D">
              <w:rPr>
                <w:sz w:val="19"/>
                <w:szCs w:val="19"/>
              </w:rPr>
              <w:t xml:space="preserve"> recycling weekly</w:t>
            </w:r>
            <w:r w:rsidR="005312EF">
              <w:rPr>
                <w:sz w:val="19"/>
                <w:szCs w:val="19"/>
              </w:rPr>
              <w:t>.</w:t>
            </w:r>
            <w:r w:rsidR="00AE48AC" w:rsidRPr="00A5561D">
              <w:rPr>
                <w:sz w:val="19"/>
                <w:szCs w:val="19"/>
              </w:rPr>
              <w:t xml:space="preserve"> </w:t>
            </w:r>
            <w:r w:rsidR="00754220">
              <w:rPr>
                <w:sz w:val="19"/>
                <w:szCs w:val="19"/>
              </w:rPr>
              <w:t>Eighteen (1</w:t>
            </w:r>
            <w:r w:rsidR="005312EF">
              <w:rPr>
                <w:sz w:val="19"/>
                <w:szCs w:val="19"/>
              </w:rPr>
              <w:t>8</w:t>
            </w:r>
            <w:r w:rsidR="00754220">
              <w:rPr>
                <w:sz w:val="19"/>
                <w:szCs w:val="19"/>
              </w:rPr>
              <w:t>)</w:t>
            </w:r>
            <w:r w:rsidR="00AE6468" w:rsidRPr="00A5561D">
              <w:rPr>
                <w:sz w:val="19"/>
                <w:szCs w:val="19"/>
              </w:rPr>
              <w:t xml:space="preserve"> </w:t>
            </w:r>
            <w:r w:rsidR="008A5E6E">
              <w:rPr>
                <w:sz w:val="19"/>
                <w:szCs w:val="19"/>
              </w:rPr>
              <w:t>communities</w:t>
            </w:r>
            <w:r w:rsidR="00AE6468" w:rsidRPr="00A5561D">
              <w:rPr>
                <w:sz w:val="19"/>
                <w:szCs w:val="19"/>
              </w:rPr>
              <w:t xml:space="preserve"> provide services every two weeks. </w:t>
            </w:r>
            <w:r w:rsidR="00754220">
              <w:rPr>
                <w:sz w:val="19"/>
                <w:szCs w:val="19"/>
              </w:rPr>
              <w:t>Six (</w:t>
            </w:r>
            <w:r w:rsidR="00FC599E">
              <w:rPr>
                <w:sz w:val="19"/>
                <w:szCs w:val="19"/>
              </w:rPr>
              <w:t>6</w:t>
            </w:r>
            <w:r w:rsidR="00754220">
              <w:rPr>
                <w:sz w:val="19"/>
                <w:szCs w:val="19"/>
              </w:rPr>
              <w:t>)</w:t>
            </w:r>
            <w:r w:rsidR="00FC599E">
              <w:rPr>
                <w:sz w:val="19"/>
                <w:szCs w:val="19"/>
              </w:rPr>
              <w:t xml:space="preserve"> communities</w:t>
            </w:r>
            <w:r w:rsidR="00F75ACF" w:rsidRPr="00A5561D">
              <w:rPr>
                <w:sz w:val="19"/>
                <w:szCs w:val="19"/>
              </w:rPr>
              <w:t xml:space="preserve"> </w:t>
            </w:r>
            <w:r w:rsidR="00E15B88" w:rsidRPr="00A5561D">
              <w:rPr>
                <w:sz w:val="19"/>
                <w:szCs w:val="19"/>
              </w:rPr>
              <w:t xml:space="preserve">noted subscription </w:t>
            </w:r>
            <w:r w:rsidR="00FC599E">
              <w:rPr>
                <w:sz w:val="19"/>
                <w:szCs w:val="19"/>
              </w:rPr>
              <w:t xml:space="preserve">recycling </w:t>
            </w:r>
            <w:r w:rsidR="00E15B88" w:rsidRPr="00A5561D">
              <w:rPr>
                <w:sz w:val="19"/>
                <w:szCs w:val="19"/>
              </w:rPr>
              <w:t>service</w:t>
            </w:r>
            <w:r w:rsidR="0038210D" w:rsidRPr="00A5561D">
              <w:rPr>
                <w:sz w:val="19"/>
                <w:szCs w:val="19"/>
              </w:rPr>
              <w:t xml:space="preserve">. </w:t>
            </w:r>
          </w:p>
        </w:tc>
      </w:tr>
      <w:tr w:rsidR="00CF466F" w:rsidRPr="00D0303C" w14:paraId="6359564B" w14:textId="77777777" w:rsidTr="00A5561D">
        <w:trPr>
          <w:trHeight w:val="353"/>
        </w:trPr>
        <w:tc>
          <w:tcPr>
            <w:cnfStyle w:val="001000000000" w:firstRow="0" w:lastRow="0" w:firstColumn="1" w:lastColumn="0" w:oddVBand="0" w:evenVBand="0" w:oddHBand="0" w:evenHBand="0" w:firstRowFirstColumn="0" w:firstRowLastColumn="0" w:lastRowFirstColumn="0" w:lastRowLastColumn="0"/>
            <w:tcW w:w="1024" w:type="dxa"/>
          </w:tcPr>
          <w:p w14:paraId="26102C7A" w14:textId="70DEA76E" w:rsidR="00CF466F" w:rsidRPr="00A5561D" w:rsidRDefault="00CF466F" w:rsidP="00A5561D">
            <w:pPr>
              <w:spacing w:after="120" w:line="240" w:lineRule="auto"/>
              <w:jc w:val="center"/>
              <w:rPr>
                <w:rFonts w:ascii="Segoe UI Symbol" w:hAnsi="Segoe UI Symbol" w:cs="Segoe UI Symbol"/>
                <w:sz w:val="19"/>
                <w:szCs w:val="19"/>
              </w:rPr>
            </w:pPr>
            <w:r w:rsidRPr="00A5561D">
              <w:rPr>
                <w:rFonts w:ascii="Segoe UI Symbol" w:hAnsi="Segoe UI Symbol" w:cs="Segoe UI Symbol"/>
                <w:sz w:val="19"/>
                <w:szCs w:val="19"/>
              </w:rPr>
              <w:t>◑</w:t>
            </w:r>
          </w:p>
        </w:tc>
        <w:tc>
          <w:tcPr>
            <w:tcW w:w="1948" w:type="dxa"/>
          </w:tcPr>
          <w:p w14:paraId="5586F8FE" w14:textId="28CA25E4" w:rsidR="00CF466F" w:rsidRPr="00A5561D" w:rsidRDefault="00CF466F" w:rsidP="00CF466F">
            <w:pPr>
              <w:spacing w:after="240" w:line="240"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Yard Waste Programming</w:t>
            </w:r>
          </w:p>
        </w:tc>
        <w:tc>
          <w:tcPr>
            <w:tcW w:w="7373" w:type="dxa"/>
          </w:tcPr>
          <w:p w14:paraId="360B1CB7" w14:textId="01785FD5" w:rsidR="00CF466F" w:rsidRPr="00A5561D" w:rsidRDefault="00754220" w:rsidP="00CF466F">
            <w:pPr>
              <w:spacing w:after="240" w:line="240" w:lineRule="auto"/>
              <w:jc w:val="left"/>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More than twenty-five</w:t>
            </w:r>
            <w:r w:rsidR="00CF466F" w:rsidRPr="00A5561D">
              <w:rPr>
                <w:sz w:val="19"/>
                <w:szCs w:val="19"/>
              </w:rPr>
              <w:t xml:space="preserve"> communities have yard waste collection programs. </w:t>
            </w:r>
            <w:r>
              <w:rPr>
                <w:sz w:val="19"/>
                <w:szCs w:val="19"/>
              </w:rPr>
              <w:t xml:space="preserve">Ten (10) </w:t>
            </w:r>
            <w:r w:rsidR="00280DD0">
              <w:rPr>
                <w:sz w:val="19"/>
                <w:szCs w:val="19"/>
              </w:rPr>
              <w:t>communities</w:t>
            </w:r>
            <w:r w:rsidR="00CF466F" w:rsidRPr="00A5561D">
              <w:rPr>
                <w:sz w:val="19"/>
                <w:szCs w:val="19"/>
              </w:rPr>
              <w:t xml:space="preserve"> have curbside collection; however</w:t>
            </w:r>
            <w:r w:rsidR="00CF466F" w:rsidRPr="00A5561D">
              <w:rPr>
                <w:b/>
                <w:sz w:val="19"/>
                <w:szCs w:val="19"/>
              </w:rPr>
              <w:t>,</w:t>
            </w:r>
            <w:r w:rsidR="00CF466F" w:rsidRPr="00A5561D">
              <w:rPr>
                <w:sz w:val="19"/>
                <w:szCs w:val="19"/>
              </w:rPr>
              <w:t xml:space="preserve"> the majority are only for a portion of the year. </w:t>
            </w:r>
            <w:r w:rsidR="00D46677">
              <w:rPr>
                <w:sz w:val="19"/>
                <w:szCs w:val="19"/>
              </w:rPr>
              <w:t>West Hartford is the only community known to</w:t>
            </w:r>
            <w:r w:rsidR="00CF466F" w:rsidRPr="00A5561D">
              <w:rPr>
                <w:sz w:val="19"/>
                <w:szCs w:val="19"/>
              </w:rPr>
              <w:t xml:space="preserve"> utilizing curbside c</w:t>
            </w:r>
            <w:r w:rsidR="00D46677">
              <w:rPr>
                <w:sz w:val="19"/>
                <w:szCs w:val="19"/>
              </w:rPr>
              <w:t>arts</w:t>
            </w:r>
            <w:r w:rsidR="00CF466F" w:rsidRPr="00A5561D">
              <w:rPr>
                <w:sz w:val="19"/>
                <w:szCs w:val="19"/>
              </w:rPr>
              <w:t xml:space="preserve"> for collection, meaning that year</w:t>
            </w:r>
            <w:r w:rsidR="00CF466F" w:rsidRPr="00A5561D">
              <w:rPr>
                <w:b/>
                <w:sz w:val="19"/>
                <w:szCs w:val="19"/>
              </w:rPr>
              <w:t>-</w:t>
            </w:r>
            <w:r w:rsidR="00CF466F" w:rsidRPr="00A5561D">
              <w:rPr>
                <w:sz w:val="19"/>
                <w:szCs w:val="19"/>
              </w:rPr>
              <w:t>round food waste collection would require new carts (could not easily be added to existing yard waste bins)</w:t>
            </w:r>
            <w:r w:rsidR="00CF466F" w:rsidRPr="00A5561D">
              <w:rPr>
                <w:b/>
                <w:sz w:val="19"/>
                <w:szCs w:val="19"/>
              </w:rPr>
              <w:t xml:space="preserve">. </w:t>
            </w:r>
            <w:r w:rsidR="00CF466F" w:rsidRPr="00A5561D">
              <w:rPr>
                <w:bCs/>
                <w:sz w:val="19"/>
                <w:szCs w:val="19"/>
              </w:rPr>
              <w:t>Utilizing the state’s waste composition and CRCOG community disposal numbers, CRCOG communities dispose approximately 24,000 tons of residential yard waste that could be collected for composting.</w:t>
            </w:r>
            <w:r w:rsidR="00CF466F" w:rsidRPr="00A5561D">
              <w:rPr>
                <w:rStyle w:val="FootnoteReference"/>
                <w:rFonts w:asciiTheme="minorHAnsi" w:hAnsiTheme="minorHAnsi"/>
                <w:bCs/>
                <w:sz w:val="19"/>
                <w:szCs w:val="19"/>
              </w:rPr>
              <w:footnoteReference w:id="17"/>
            </w:r>
          </w:p>
        </w:tc>
      </w:tr>
      <w:tr w:rsidR="00CF466F" w:rsidRPr="00D0303C" w14:paraId="43481243" w14:textId="77777777" w:rsidTr="00A5561D">
        <w:trPr>
          <w:trHeight w:val="353"/>
        </w:trPr>
        <w:tc>
          <w:tcPr>
            <w:cnfStyle w:val="001000000000" w:firstRow="0" w:lastRow="0" w:firstColumn="1" w:lastColumn="0" w:oddVBand="0" w:evenVBand="0" w:oddHBand="0" w:evenHBand="0" w:firstRowFirstColumn="0" w:firstRowLastColumn="0" w:lastRowFirstColumn="0" w:lastRowLastColumn="0"/>
            <w:tcW w:w="1024" w:type="dxa"/>
          </w:tcPr>
          <w:p w14:paraId="2DA1DD83" w14:textId="19ADA801" w:rsidR="00CF466F" w:rsidRPr="00A5561D" w:rsidRDefault="00CF466F" w:rsidP="00A5561D">
            <w:pPr>
              <w:spacing w:after="120" w:line="240" w:lineRule="auto"/>
              <w:jc w:val="center"/>
              <w:rPr>
                <w:rFonts w:ascii="Segoe UI Symbol" w:hAnsi="Segoe UI Symbol" w:cs="Segoe UI Symbol"/>
                <w:sz w:val="19"/>
                <w:szCs w:val="19"/>
              </w:rPr>
            </w:pPr>
            <w:r w:rsidRPr="00A5561D">
              <w:rPr>
                <w:rFonts w:ascii="Segoe UI Symbol" w:hAnsi="Segoe UI Symbol" w:cs="Segoe UI Symbol"/>
                <w:sz w:val="19"/>
                <w:szCs w:val="19"/>
              </w:rPr>
              <w:t>◔</w:t>
            </w:r>
          </w:p>
        </w:tc>
        <w:tc>
          <w:tcPr>
            <w:tcW w:w="1948" w:type="dxa"/>
          </w:tcPr>
          <w:p w14:paraId="35BBADCD" w14:textId="3612EF41" w:rsidR="00CF466F" w:rsidRPr="00A5561D" w:rsidRDefault="00CF466F" w:rsidP="00CF466F">
            <w:pPr>
              <w:spacing w:after="240" w:line="240"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Residential Food Scrap Collection Programs</w:t>
            </w:r>
          </w:p>
        </w:tc>
        <w:tc>
          <w:tcPr>
            <w:tcW w:w="7373" w:type="dxa"/>
          </w:tcPr>
          <w:p w14:paraId="7C0768B0" w14:textId="73C7A56A" w:rsidR="00CF466F" w:rsidRPr="00A5561D" w:rsidRDefault="00CF466F" w:rsidP="00CF466F">
            <w:pPr>
              <w:spacing w:after="240" w:line="240"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Curbside collection of residential food waste is a gap</w:t>
            </w:r>
            <w:r w:rsidR="00704CB9" w:rsidRPr="00A5561D">
              <w:rPr>
                <w:sz w:val="19"/>
                <w:szCs w:val="19"/>
              </w:rPr>
              <w:t xml:space="preserve">. </w:t>
            </w:r>
            <w:r w:rsidRPr="00A5561D">
              <w:rPr>
                <w:sz w:val="19"/>
                <w:szCs w:val="19"/>
              </w:rPr>
              <w:t>Food scrap collection is available by subscription through Blue Earth composting. As of 2019, Blue Earth has ~300 residential customers in the Greater Hartford region.</w:t>
            </w:r>
            <w:r w:rsidRPr="00A5561D">
              <w:rPr>
                <w:rStyle w:val="FootnoteReference"/>
                <w:rFonts w:asciiTheme="minorHAnsi" w:hAnsiTheme="minorHAnsi"/>
                <w:sz w:val="19"/>
                <w:szCs w:val="19"/>
              </w:rPr>
              <w:footnoteReference w:id="18"/>
            </w:r>
            <w:r w:rsidRPr="00A5561D">
              <w:rPr>
                <w:sz w:val="19"/>
                <w:szCs w:val="19"/>
              </w:rPr>
              <w:t xml:space="preserve"> </w:t>
            </w:r>
            <w:r w:rsidR="00F12CD3">
              <w:rPr>
                <w:sz w:val="19"/>
                <w:szCs w:val="19"/>
              </w:rPr>
              <w:t>Two</w:t>
            </w:r>
            <w:r w:rsidRPr="00A5561D">
              <w:rPr>
                <w:sz w:val="19"/>
                <w:szCs w:val="19"/>
              </w:rPr>
              <w:t xml:space="preserve"> communities provide food waste drop off programs. Two CRCOG communities are planning food waste collection pilots.</w:t>
            </w:r>
          </w:p>
        </w:tc>
      </w:tr>
      <w:tr w:rsidR="00CF466F" w:rsidRPr="00D0303C" w14:paraId="56722277" w14:textId="77777777" w:rsidTr="00A5561D">
        <w:trPr>
          <w:trHeight w:val="353"/>
        </w:trPr>
        <w:tc>
          <w:tcPr>
            <w:cnfStyle w:val="001000000000" w:firstRow="0" w:lastRow="0" w:firstColumn="1" w:lastColumn="0" w:oddVBand="0" w:evenVBand="0" w:oddHBand="0" w:evenHBand="0" w:firstRowFirstColumn="0" w:firstRowLastColumn="0" w:lastRowFirstColumn="0" w:lastRowLastColumn="0"/>
            <w:tcW w:w="1024" w:type="dxa"/>
          </w:tcPr>
          <w:p w14:paraId="00BA388C" w14:textId="2B8CB119" w:rsidR="00CF466F" w:rsidRPr="00A5561D" w:rsidRDefault="00CF466F" w:rsidP="00A5561D">
            <w:pPr>
              <w:spacing w:after="120" w:line="240" w:lineRule="auto"/>
              <w:jc w:val="center"/>
              <w:rPr>
                <w:rFonts w:ascii="Segoe UI Symbol" w:hAnsi="Segoe UI Symbol" w:cs="Segoe UI Symbol"/>
                <w:sz w:val="19"/>
                <w:szCs w:val="19"/>
              </w:rPr>
            </w:pPr>
            <w:r w:rsidRPr="00A5561D">
              <w:rPr>
                <w:rFonts w:ascii="Segoe UI Symbol" w:hAnsi="Segoe UI Symbol" w:cs="Segoe UI Symbol"/>
                <w:sz w:val="19"/>
                <w:szCs w:val="19"/>
              </w:rPr>
              <w:t>◑</w:t>
            </w:r>
          </w:p>
        </w:tc>
        <w:tc>
          <w:tcPr>
            <w:tcW w:w="1948" w:type="dxa"/>
          </w:tcPr>
          <w:p w14:paraId="03181506" w14:textId="4F72C746" w:rsidR="00CF466F" w:rsidRPr="00A5561D" w:rsidRDefault="00CF466F" w:rsidP="00CF466F">
            <w:pPr>
              <w:spacing w:after="240" w:line="240"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Hard to Recycle Items</w:t>
            </w:r>
          </w:p>
        </w:tc>
        <w:tc>
          <w:tcPr>
            <w:tcW w:w="7373" w:type="dxa"/>
          </w:tcPr>
          <w:p w14:paraId="4DEB4991" w14:textId="471CF25E" w:rsidR="00CF466F" w:rsidRPr="00A5561D" w:rsidRDefault="00CF466F" w:rsidP="00CF466F">
            <w:pPr>
              <w:spacing w:after="240" w:line="240"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 xml:space="preserve">EPR programs in place for electronic devices, paint, mattresses, and mercury thermostats. </w:t>
            </w:r>
            <w:r w:rsidR="009157DF">
              <w:rPr>
                <w:sz w:val="19"/>
                <w:szCs w:val="19"/>
              </w:rPr>
              <w:t xml:space="preserve">Four communities </w:t>
            </w:r>
            <w:r w:rsidRPr="00A5561D">
              <w:rPr>
                <w:sz w:val="19"/>
                <w:szCs w:val="19"/>
              </w:rPr>
              <w:t xml:space="preserve">mentioned drop off for textiles. </w:t>
            </w:r>
            <w:r w:rsidR="00233EDE">
              <w:rPr>
                <w:sz w:val="19"/>
                <w:szCs w:val="19"/>
              </w:rPr>
              <w:t>Six communities</w:t>
            </w:r>
            <w:r w:rsidRPr="00A5561D">
              <w:rPr>
                <w:sz w:val="19"/>
                <w:szCs w:val="19"/>
              </w:rPr>
              <w:t xml:space="preserve"> mentioned no drop off facilities. </w:t>
            </w:r>
          </w:p>
        </w:tc>
      </w:tr>
      <w:tr w:rsidR="00CF466F" w:rsidRPr="00D0303C" w14:paraId="7AA52A33" w14:textId="77777777" w:rsidTr="00A5561D">
        <w:trPr>
          <w:trHeight w:val="353"/>
        </w:trPr>
        <w:tc>
          <w:tcPr>
            <w:cnfStyle w:val="001000000000" w:firstRow="0" w:lastRow="0" w:firstColumn="1" w:lastColumn="0" w:oddVBand="0" w:evenVBand="0" w:oddHBand="0" w:evenHBand="0" w:firstRowFirstColumn="0" w:firstRowLastColumn="0" w:lastRowFirstColumn="0" w:lastRowLastColumn="0"/>
            <w:tcW w:w="1024" w:type="dxa"/>
          </w:tcPr>
          <w:p w14:paraId="5375C1E9" w14:textId="035F21E5" w:rsidR="00CF466F" w:rsidRPr="00A5561D" w:rsidRDefault="00CF466F" w:rsidP="00A5561D">
            <w:pPr>
              <w:spacing w:after="120" w:line="240" w:lineRule="auto"/>
              <w:jc w:val="center"/>
              <w:rPr>
                <w:rFonts w:ascii="Segoe UI Symbol" w:hAnsi="Segoe UI Symbol" w:cs="Segoe UI Symbol"/>
                <w:sz w:val="19"/>
                <w:szCs w:val="19"/>
              </w:rPr>
            </w:pPr>
            <w:r w:rsidRPr="00A5561D">
              <w:rPr>
                <w:rFonts w:ascii="Segoe UI Symbol" w:hAnsi="Segoe UI Symbol" w:cs="Segoe UI Symbol"/>
                <w:sz w:val="19"/>
                <w:szCs w:val="19"/>
              </w:rPr>
              <w:t>◔</w:t>
            </w:r>
          </w:p>
        </w:tc>
        <w:tc>
          <w:tcPr>
            <w:tcW w:w="1948" w:type="dxa"/>
          </w:tcPr>
          <w:p w14:paraId="679CE4EE" w14:textId="73A3F647" w:rsidR="00CF466F" w:rsidRPr="00A5561D" w:rsidRDefault="00CF466F" w:rsidP="00CF466F">
            <w:pPr>
              <w:spacing w:after="240" w:line="240"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 xml:space="preserve">Schools &amp; Institutions </w:t>
            </w:r>
          </w:p>
        </w:tc>
        <w:tc>
          <w:tcPr>
            <w:tcW w:w="7373" w:type="dxa"/>
          </w:tcPr>
          <w:p w14:paraId="09075DC6" w14:textId="742BEDF2" w:rsidR="00CF466F" w:rsidRPr="00A5561D" w:rsidRDefault="00CF466F" w:rsidP="00CF466F">
            <w:pPr>
              <w:spacing w:after="240" w:line="240"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Two communities mentioned providing cafeteria food scrap composting programs. Additional information on recycling and composting at schools and institutions unknown.</w:t>
            </w:r>
          </w:p>
        </w:tc>
      </w:tr>
    </w:tbl>
    <w:p w14:paraId="6C71A469" w14:textId="272F9C3A" w:rsidR="00996EB3" w:rsidRDefault="00CF466F" w:rsidP="00530CF3">
      <w:r>
        <w:t xml:space="preserve"> </w:t>
      </w:r>
      <w:r w:rsidR="007A3696">
        <w:br w:type="page"/>
      </w:r>
    </w:p>
    <w:p w14:paraId="3FD92800" w14:textId="49D3B0E0" w:rsidR="006C3D5A" w:rsidRDefault="006C3D5A" w:rsidP="00135F0B">
      <w:pPr>
        <w:pStyle w:val="Subtitle"/>
      </w:pPr>
      <w:bookmarkStart w:id="71" w:name="_Toc40453267"/>
      <w:bookmarkStart w:id="72" w:name="_Toc117000331"/>
      <w:bookmarkStart w:id="73" w:name="_Toc117001054"/>
      <w:r>
        <w:t>Processing</w:t>
      </w:r>
      <w:bookmarkEnd w:id="71"/>
      <w:bookmarkEnd w:id="72"/>
      <w:bookmarkEnd w:id="73"/>
    </w:p>
    <w:p w14:paraId="0BDAD164" w14:textId="369B52BA" w:rsidR="001A4ECC" w:rsidRDefault="00652B91" w:rsidP="00006DE7">
      <w:r>
        <w:t xml:space="preserve">The following section evaluates the current processing capabilities for </w:t>
      </w:r>
      <w:r w:rsidR="00CC4D9C">
        <w:t>trash</w:t>
      </w:r>
      <w:r>
        <w:t>, recyclables, and organic materials.</w:t>
      </w:r>
      <w:r w:rsidR="00DB3E34">
        <w:t xml:space="preserve"> </w:t>
      </w:r>
      <w:r w:rsidR="00EE3A5C" w:rsidRPr="001A4ECC">
        <w:t>Processing facilities include landfills, waste to energy facilities, material recovery facilities (MRFs), compost facilities, and anaerobic digestion facilities.</w:t>
      </w:r>
      <w:r w:rsidR="00EE3A5C">
        <w:t xml:space="preserve"> </w:t>
      </w:r>
      <w:r w:rsidR="00255039">
        <w:t>Transfer station</w:t>
      </w:r>
      <w:r w:rsidR="008F6B98">
        <w:t xml:space="preserve">s and access to also are included as efficient transport is needed for cost-effective, environmentally sustainable operations. </w:t>
      </w:r>
    </w:p>
    <w:p w14:paraId="0E2A1545" w14:textId="77777777" w:rsidR="000E3996" w:rsidRPr="000E3996" w:rsidRDefault="000E3996" w:rsidP="00530CF3"/>
    <w:p w14:paraId="54A020FC" w14:textId="6AC46AFA" w:rsidR="002B2BF8" w:rsidRDefault="002B2BF8" w:rsidP="00530CF3">
      <w:pPr>
        <w:pStyle w:val="Caption"/>
      </w:pPr>
      <w:bookmarkStart w:id="74" w:name="_Toc116992207"/>
      <w:r>
        <w:t xml:space="preserve">Table </w:t>
      </w:r>
      <w:r>
        <w:fldChar w:fldCharType="begin"/>
      </w:r>
      <w:r>
        <w:instrText>SEQ Table \* ARABIC</w:instrText>
      </w:r>
      <w:r>
        <w:fldChar w:fldCharType="separate"/>
      </w:r>
      <w:r w:rsidR="00CC33D6">
        <w:rPr>
          <w:noProof/>
        </w:rPr>
        <w:t>2</w:t>
      </w:r>
      <w:r>
        <w:fldChar w:fldCharType="end"/>
      </w:r>
      <w:r>
        <w:t xml:space="preserve">. </w:t>
      </w:r>
      <w:r w:rsidRPr="00AA1246">
        <w:t>Processing Evaluation</w:t>
      </w:r>
      <w:bookmarkEnd w:id="74"/>
    </w:p>
    <w:tbl>
      <w:tblPr>
        <w:tblStyle w:val="TableStyle1"/>
        <w:tblpPr w:leftFromText="180" w:rightFromText="180" w:vertAnchor="text" w:horzAnchor="margin" w:tblpY="47"/>
        <w:tblW w:w="10243" w:type="dxa"/>
        <w:tblCellMar>
          <w:top w:w="115" w:type="dxa"/>
          <w:left w:w="108" w:type="dxa"/>
          <w:bottom w:w="115" w:type="dxa"/>
          <w:right w:w="108" w:type="dxa"/>
        </w:tblCellMar>
        <w:tblLook w:val="06A0" w:firstRow="1" w:lastRow="0" w:firstColumn="1" w:lastColumn="0" w:noHBand="1" w:noVBand="1"/>
      </w:tblPr>
      <w:tblGrid>
        <w:gridCol w:w="1055"/>
        <w:gridCol w:w="1685"/>
        <w:gridCol w:w="7503"/>
      </w:tblGrid>
      <w:tr w:rsidR="00AC794D" w14:paraId="7E35D38E" w14:textId="77777777" w:rsidTr="00A5561D">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055" w:type="dxa"/>
            <w:shd w:val="clear" w:color="auto" w:fill="1D666E" w:themeFill="accent1"/>
          </w:tcPr>
          <w:p w14:paraId="250E274A" w14:textId="77777777" w:rsidR="006C3D5A" w:rsidRPr="00A5561D" w:rsidRDefault="006C3D5A" w:rsidP="00A5561D">
            <w:pPr>
              <w:jc w:val="center"/>
              <w:rPr>
                <w:color w:val="FFFFFF" w:themeColor="background1"/>
                <w:sz w:val="19"/>
                <w:szCs w:val="19"/>
              </w:rPr>
            </w:pPr>
            <w:r w:rsidRPr="00A5561D">
              <w:rPr>
                <w:color w:val="FFFFFF" w:themeColor="background1"/>
                <w:sz w:val="19"/>
                <w:szCs w:val="19"/>
              </w:rPr>
              <w:t>Uptake</w:t>
            </w:r>
          </w:p>
        </w:tc>
        <w:tc>
          <w:tcPr>
            <w:tcW w:w="1685" w:type="dxa"/>
            <w:shd w:val="clear" w:color="auto" w:fill="1D666E" w:themeFill="accent1"/>
          </w:tcPr>
          <w:p w14:paraId="2B060D0A" w14:textId="77777777" w:rsidR="006C3D5A" w:rsidRPr="00A5561D" w:rsidRDefault="006C3D5A" w:rsidP="00A5561D">
            <w:pPr>
              <w:jc w:val="left"/>
              <w:cnfStyle w:val="100000000000" w:firstRow="1" w:lastRow="0" w:firstColumn="0" w:lastColumn="0" w:oddVBand="0" w:evenVBand="0" w:oddHBand="0" w:evenHBand="0" w:firstRowFirstColumn="0" w:firstRowLastColumn="0" w:lastRowFirstColumn="0" w:lastRowLastColumn="0"/>
              <w:rPr>
                <w:b w:val="0"/>
                <w:color w:val="FFFFFF" w:themeColor="background1"/>
                <w:sz w:val="19"/>
                <w:szCs w:val="19"/>
              </w:rPr>
            </w:pPr>
            <w:r w:rsidRPr="00A5561D">
              <w:rPr>
                <w:color w:val="FFFFFF" w:themeColor="background1"/>
                <w:sz w:val="19"/>
                <w:szCs w:val="19"/>
              </w:rPr>
              <w:t>Category</w:t>
            </w:r>
          </w:p>
        </w:tc>
        <w:tc>
          <w:tcPr>
            <w:tcW w:w="7503" w:type="dxa"/>
            <w:shd w:val="clear" w:color="auto" w:fill="1D666E" w:themeFill="accent1"/>
          </w:tcPr>
          <w:p w14:paraId="222EF33B" w14:textId="77777777" w:rsidR="006C3D5A" w:rsidRPr="00A5561D" w:rsidRDefault="006C3D5A" w:rsidP="00A5561D">
            <w:pPr>
              <w:jc w:val="left"/>
              <w:cnfStyle w:val="100000000000" w:firstRow="1" w:lastRow="0" w:firstColumn="0" w:lastColumn="0" w:oddVBand="0" w:evenVBand="0" w:oddHBand="0" w:evenHBand="0" w:firstRowFirstColumn="0" w:firstRowLastColumn="0" w:lastRowFirstColumn="0" w:lastRowLastColumn="0"/>
              <w:rPr>
                <w:b w:val="0"/>
                <w:color w:val="FFFFFF" w:themeColor="background1"/>
                <w:sz w:val="19"/>
                <w:szCs w:val="19"/>
              </w:rPr>
            </w:pPr>
            <w:r w:rsidRPr="00A5561D">
              <w:rPr>
                <w:color w:val="FFFFFF" w:themeColor="background1"/>
                <w:sz w:val="19"/>
                <w:szCs w:val="19"/>
              </w:rPr>
              <w:t>Findings</w:t>
            </w:r>
          </w:p>
        </w:tc>
      </w:tr>
      <w:tr w:rsidR="00B96A7F" w14:paraId="25B5F70A" w14:textId="77777777" w:rsidTr="00A5561D">
        <w:trPr>
          <w:trHeight w:val="424"/>
        </w:trPr>
        <w:tc>
          <w:tcPr>
            <w:cnfStyle w:val="001000000000" w:firstRow="0" w:lastRow="0" w:firstColumn="1" w:lastColumn="0" w:oddVBand="0" w:evenVBand="0" w:oddHBand="0" w:evenHBand="0" w:firstRowFirstColumn="0" w:firstRowLastColumn="0" w:lastRowFirstColumn="0" w:lastRowLastColumn="0"/>
            <w:tcW w:w="1055" w:type="dxa"/>
          </w:tcPr>
          <w:p w14:paraId="1F957ECF" w14:textId="35656423" w:rsidR="00B96A7F" w:rsidRPr="00A5561D" w:rsidRDefault="00AC794D" w:rsidP="00AC794D">
            <w:pPr>
              <w:pStyle w:val="ListParagraph"/>
              <w:ind w:left="36" w:firstLine="40"/>
              <w:jc w:val="center"/>
              <w:rPr>
                <w:sz w:val="19"/>
                <w:szCs w:val="19"/>
              </w:rPr>
            </w:pPr>
            <w:r w:rsidRPr="00AC794D">
              <w:rPr>
                <w:rFonts w:ascii="Segoe UI Symbol" w:eastAsia="Segoe UI Symbol" w:hAnsi="Segoe UI Symbol"/>
                <w:sz w:val="16"/>
                <w:szCs w:val="15"/>
                <w:lang w:eastAsia="ja-JP"/>
              </w:rPr>
              <w:t>◯</w:t>
            </w:r>
          </w:p>
        </w:tc>
        <w:tc>
          <w:tcPr>
            <w:tcW w:w="1685" w:type="dxa"/>
          </w:tcPr>
          <w:p w14:paraId="452E833F" w14:textId="4A4AA4BE" w:rsidR="00B96A7F" w:rsidRPr="00A5561D" w:rsidRDefault="00B96A7F" w:rsidP="00A5561D">
            <w:pPr>
              <w:jc w:val="left"/>
              <w:cnfStyle w:val="000000000000" w:firstRow="0" w:lastRow="0" w:firstColumn="0" w:lastColumn="0" w:oddVBand="0" w:evenVBand="0" w:oddHBand="0" w:evenHBand="0" w:firstRowFirstColumn="0" w:firstRowLastColumn="0" w:lastRowFirstColumn="0" w:lastRowLastColumn="0"/>
              <w:rPr>
                <w:b/>
                <w:sz w:val="19"/>
                <w:szCs w:val="19"/>
              </w:rPr>
            </w:pPr>
            <w:r w:rsidRPr="00AA3AA6">
              <w:rPr>
                <w:sz w:val="19"/>
                <w:szCs w:val="19"/>
              </w:rPr>
              <w:t>Advanced Solutions</w:t>
            </w:r>
            <w:r w:rsidR="007B76E7" w:rsidRPr="00AA3AA6">
              <w:rPr>
                <w:sz w:val="19"/>
                <w:szCs w:val="19"/>
              </w:rPr>
              <w:t xml:space="preserve"> </w:t>
            </w:r>
            <w:r w:rsidR="00DE766E" w:rsidRPr="00A5561D">
              <w:rPr>
                <w:sz w:val="19"/>
                <w:szCs w:val="19"/>
              </w:rPr>
              <w:t>(post-collection sorting, chemical recycling)</w:t>
            </w:r>
          </w:p>
        </w:tc>
        <w:tc>
          <w:tcPr>
            <w:tcW w:w="7503" w:type="dxa"/>
          </w:tcPr>
          <w:p w14:paraId="246DDCA2" w14:textId="531F17DE" w:rsidR="00B96A7F" w:rsidRPr="00A5561D" w:rsidRDefault="008B49FE" w:rsidP="00A5561D">
            <w:pPr>
              <w:spacing w:after="200" w:line="216"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 xml:space="preserve">Represents a potential gap. </w:t>
            </w:r>
            <w:r w:rsidR="00A40A09" w:rsidRPr="00A5561D">
              <w:rPr>
                <w:sz w:val="19"/>
                <w:szCs w:val="19"/>
              </w:rPr>
              <w:t xml:space="preserve">No </w:t>
            </w:r>
            <w:r w:rsidR="00A3128A" w:rsidRPr="00A5561D">
              <w:rPr>
                <w:sz w:val="19"/>
                <w:szCs w:val="19"/>
              </w:rPr>
              <w:t>advanced solutions for addressing waste</w:t>
            </w:r>
            <w:r w:rsidR="00CB4F81" w:rsidRPr="00A5561D">
              <w:rPr>
                <w:sz w:val="19"/>
                <w:szCs w:val="19"/>
              </w:rPr>
              <w:t xml:space="preserve"> in the region</w:t>
            </w:r>
            <w:r w:rsidR="00A3128A" w:rsidRPr="00A5561D">
              <w:rPr>
                <w:sz w:val="19"/>
                <w:szCs w:val="19"/>
              </w:rPr>
              <w:t>.</w:t>
            </w:r>
          </w:p>
        </w:tc>
      </w:tr>
      <w:tr w:rsidR="00B96A7F" w14:paraId="7D21BE18" w14:textId="77777777" w:rsidTr="00A5561D">
        <w:trPr>
          <w:trHeight w:val="424"/>
        </w:trPr>
        <w:tc>
          <w:tcPr>
            <w:cnfStyle w:val="001000000000" w:firstRow="0" w:lastRow="0" w:firstColumn="1" w:lastColumn="0" w:oddVBand="0" w:evenVBand="0" w:oddHBand="0" w:evenHBand="0" w:firstRowFirstColumn="0" w:firstRowLastColumn="0" w:lastRowFirstColumn="0" w:lastRowLastColumn="0"/>
            <w:tcW w:w="1055" w:type="dxa"/>
            <w:vAlign w:val="top"/>
          </w:tcPr>
          <w:p w14:paraId="01A165A0" w14:textId="77777777" w:rsidR="004A66C6" w:rsidRPr="00A5561D" w:rsidRDefault="004A66C6" w:rsidP="00A5561D">
            <w:pPr>
              <w:pStyle w:val="ListParagraph"/>
              <w:jc w:val="center"/>
              <w:rPr>
                <w:sz w:val="19"/>
                <w:szCs w:val="19"/>
              </w:rPr>
            </w:pPr>
          </w:p>
          <w:p w14:paraId="3F7B6397" w14:textId="5405E7FB" w:rsidR="00B96A7F" w:rsidRPr="00A5561D" w:rsidRDefault="00993C95" w:rsidP="00A5561D">
            <w:pPr>
              <w:jc w:val="center"/>
              <w:rPr>
                <w:sz w:val="19"/>
                <w:szCs w:val="19"/>
              </w:rPr>
            </w:pPr>
            <w:r w:rsidRPr="00A5561D">
              <w:rPr>
                <w:rFonts w:ascii="Segoe UI Symbol" w:hAnsi="Segoe UI Symbol" w:cs="Segoe UI Symbol"/>
                <w:sz w:val="19"/>
                <w:szCs w:val="19"/>
              </w:rPr>
              <w:t>◔</w:t>
            </w:r>
          </w:p>
        </w:tc>
        <w:tc>
          <w:tcPr>
            <w:tcW w:w="1685" w:type="dxa"/>
            <w:vAlign w:val="top"/>
          </w:tcPr>
          <w:p w14:paraId="6B987D25" w14:textId="77777777" w:rsidR="004A66C6" w:rsidRPr="00A5561D" w:rsidRDefault="004A66C6" w:rsidP="00A5561D">
            <w:pPr>
              <w:jc w:val="left"/>
              <w:cnfStyle w:val="000000000000" w:firstRow="0" w:lastRow="0" w:firstColumn="0" w:lastColumn="0" w:oddVBand="0" w:evenVBand="0" w:oddHBand="0" w:evenHBand="0" w:firstRowFirstColumn="0" w:firstRowLastColumn="0" w:lastRowFirstColumn="0" w:lastRowLastColumn="0"/>
              <w:rPr>
                <w:sz w:val="19"/>
                <w:szCs w:val="19"/>
              </w:rPr>
            </w:pPr>
          </w:p>
          <w:p w14:paraId="7BA87596" w14:textId="09390599" w:rsidR="00B96A7F" w:rsidRPr="00A5561D" w:rsidRDefault="008647B3" w:rsidP="00A5561D">
            <w:pPr>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Organics</w:t>
            </w:r>
            <w:r w:rsidR="00036816" w:rsidRPr="00A5561D">
              <w:rPr>
                <w:sz w:val="19"/>
                <w:szCs w:val="19"/>
              </w:rPr>
              <w:t xml:space="preserve"> </w:t>
            </w:r>
            <w:r w:rsidR="00FF4ED3" w:rsidRPr="00A5561D">
              <w:rPr>
                <w:sz w:val="19"/>
                <w:szCs w:val="19"/>
              </w:rPr>
              <w:t>F</w:t>
            </w:r>
            <w:r w:rsidR="00036816" w:rsidRPr="00A5561D">
              <w:rPr>
                <w:sz w:val="19"/>
                <w:szCs w:val="19"/>
              </w:rPr>
              <w:t>acilities wit</w:t>
            </w:r>
            <w:r w:rsidR="00301A0F" w:rsidRPr="00A5561D">
              <w:rPr>
                <w:sz w:val="19"/>
                <w:szCs w:val="19"/>
              </w:rPr>
              <w:t>h</w:t>
            </w:r>
            <w:r w:rsidR="00036816" w:rsidRPr="00A5561D">
              <w:rPr>
                <w:sz w:val="19"/>
                <w:szCs w:val="19"/>
              </w:rPr>
              <w:t>in 20 miles</w:t>
            </w:r>
          </w:p>
        </w:tc>
        <w:tc>
          <w:tcPr>
            <w:tcW w:w="7503" w:type="dxa"/>
          </w:tcPr>
          <w:p w14:paraId="1B6C9754" w14:textId="13C0DD3E" w:rsidR="00136E0D" w:rsidRPr="00A5561D" w:rsidRDefault="00136E0D" w:rsidP="00A5561D">
            <w:pPr>
              <w:spacing w:after="200" w:line="216"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Excess capacity is available to increase residential and commercial food waste collection.</w:t>
            </w:r>
          </w:p>
          <w:p w14:paraId="26888477" w14:textId="307AE781" w:rsidR="00A83986" w:rsidRPr="00A5561D" w:rsidRDefault="00852308" w:rsidP="00A5561D">
            <w:pPr>
              <w:spacing w:after="200" w:line="216"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Addi</w:t>
            </w:r>
            <w:r w:rsidR="00DB3A46" w:rsidRPr="00A5561D">
              <w:rPr>
                <w:sz w:val="19"/>
                <w:szCs w:val="19"/>
              </w:rPr>
              <w:t xml:space="preserve">tional </w:t>
            </w:r>
            <w:r w:rsidRPr="00A5561D">
              <w:rPr>
                <w:sz w:val="19"/>
                <w:szCs w:val="19"/>
              </w:rPr>
              <w:t xml:space="preserve">capacity and/or pretreatment technologies </w:t>
            </w:r>
            <w:r w:rsidR="00DB3A46" w:rsidRPr="00A5561D">
              <w:rPr>
                <w:sz w:val="19"/>
                <w:szCs w:val="19"/>
              </w:rPr>
              <w:t xml:space="preserve">will be </w:t>
            </w:r>
            <w:r w:rsidRPr="00A5561D">
              <w:rPr>
                <w:sz w:val="19"/>
                <w:szCs w:val="19"/>
              </w:rPr>
              <w:t xml:space="preserve">needed </w:t>
            </w:r>
            <w:r w:rsidR="00DB3A46" w:rsidRPr="00A5561D">
              <w:rPr>
                <w:sz w:val="19"/>
                <w:szCs w:val="19"/>
              </w:rPr>
              <w:t>to ensure nearby process</w:t>
            </w:r>
            <w:r w:rsidR="00A83986" w:rsidRPr="00A5561D">
              <w:rPr>
                <w:sz w:val="19"/>
                <w:szCs w:val="19"/>
              </w:rPr>
              <w:t xml:space="preserve">ing if food waste is to be collected at scale from residential and commercial sources. </w:t>
            </w:r>
          </w:p>
          <w:p w14:paraId="1943C28D" w14:textId="4A95DCB5" w:rsidR="00F57D02" w:rsidRPr="00A5561D" w:rsidRDefault="00705EF0" w:rsidP="00A5561D">
            <w:pPr>
              <w:spacing w:after="200" w:line="216"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Need for additional yard waste capacity is unknown at this time and may depend on whether composting facilities are needed to process digestate</w:t>
            </w:r>
            <w:r w:rsidR="00966A61" w:rsidRPr="00A5561D">
              <w:rPr>
                <w:sz w:val="19"/>
                <w:szCs w:val="19"/>
              </w:rPr>
              <w:t xml:space="preserve"> as well as interest and ability </w:t>
            </w:r>
            <w:r w:rsidR="00A1794C" w:rsidRPr="00A5561D">
              <w:rPr>
                <w:sz w:val="19"/>
                <w:szCs w:val="19"/>
              </w:rPr>
              <w:t xml:space="preserve">to </w:t>
            </w:r>
            <w:r w:rsidR="00966A61" w:rsidRPr="00A5561D">
              <w:rPr>
                <w:sz w:val="19"/>
                <w:szCs w:val="19"/>
              </w:rPr>
              <w:t xml:space="preserve">capture the </w:t>
            </w:r>
            <w:r w:rsidR="001C612F" w:rsidRPr="00A5561D">
              <w:rPr>
                <w:sz w:val="19"/>
                <w:szCs w:val="19"/>
              </w:rPr>
              <w:t xml:space="preserve">estimated </w:t>
            </w:r>
            <w:r w:rsidR="00A1794C" w:rsidRPr="00A5561D">
              <w:rPr>
                <w:sz w:val="19"/>
                <w:szCs w:val="19"/>
              </w:rPr>
              <w:t>25</w:t>
            </w:r>
            <w:r w:rsidR="001C612F" w:rsidRPr="00A5561D">
              <w:rPr>
                <w:sz w:val="19"/>
                <w:szCs w:val="19"/>
              </w:rPr>
              <w:t>k tpy of leaves, grass and trimmings discarded by the residential sector</w:t>
            </w:r>
            <w:r w:rsidRPr="00A5561D">
              <w:rPr>
                <w:sz w:val="19"/>
                <w:szCs w:val="19"/>
              </w:rPr>
              <w:t>.</w:t>
            </w:r>
          </w:p>
          <w:p w14:paraId="564E8A46" w14:textId="5AD6877E" w:rsidR="00A41951" w:rsidRPr="00A5561D" w:rsidRDefault="00852DAA" w:rsidP="00A5561D">
            <w:pPr>
              <w:spacing w:after="200" w:line="216"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 xml:space="preserve">Quantum’s Southington </w:t>
            </w:r>
            <w:r w:rsidR="00F81B3B" w:rsidRPr="00A5561D">
              <w:rPr>
                <w:sz w:val="19"/>
                <w:szCs w:val="19"/>
              </w:rPr>
              <w:t>a</w:t>
            </w:r>
            <w:r w:rsidRPr="00A5561D">
              <w:rPr>
                <w:sz w:val="19"/>
                <w:szCs w:val="19"/>
              </w:rPr>
              <w:t xml:space="preserve">naerobic </w:t>
            </w:r>
            <w:r w:rsidR="00F81B3B" w:rsidRPr="00A5561D">
              <w:rPr>
                <w:sz w:val="19"/>
                <w:szCs w:val="19"/>
              </w:rPr>
              <w:t>d</w:t>
            </w:r>
            <w:r w:rsidRPr="00A5561D">
              <w:rPr>
                <w:sz w:val="19"/>
                <w:szCs w:val="19"/>
              </w:rPr>
              <w:t xml:space="preserve">igestion </w:t>
            </w:r>
            <w:r w:rsidR="00F81B3B" w:rsidRPr="00A5561D">
              <w:rPr>
                <w:sz w:val="19"/>
                <w:szCs w:val="19"/>
              </w:rPr>
              <w:t>f</w:t>
            </w:r>
            <w:r w:rsidRPr="00A5561D">
              <w:rPr>
                <w:sz w:val="19"/>
                <w:szCs w:val="19"/>
              </w:rPr>
              <w:t xml:space="preserve">acility currently </w:t>
            </w:r>
            <w:r w:rsidR="0062223E" w:rsidRPr="00A5561D">
              <w:rPr>
                <w:sz w:val="19"/>
                <w:szCs w:val="19"/>
              </w:rPr>
              <w:t>is permitted to process more than 90,000 tons per year</w:t>
            </w:r>
            <w:r w:rsidR="00F20DC7" w:rsidRPr="00A5561D">
              <w:rPr>
                <w:sz w:val="19"/>
                <w:szCs w:val="19"/>
              </w:rPr>
              <w:t>; however</w:t>
            </w:r>
            <w:r w:rsidR="008C0EE7" w:rsidRPr="00A5561D">
              <w:rPr>
                <w:sz w:val="19"/>
                <w:szCs w:val="19"/>
              </w:rPr>
              <w:t>,</w:t>
            </w:r>
            <w:r w:rsidR="00F20DC7" w:rsidRPr="00A5561D">
              <w:rPr>
                <w:sz w:val="19"/>
                <w:szCs w:val="19"/>
              </w:rPr>
              <w:t xml:space="preserve"> built capacity is approximately 40,000 tons per year and estimated </w:t>
            </w:r>
            <w:r w:rsidR="00A12223" w:rsidRPr="00A5561D">
              <w:rPr>
                <w:sz w:val="19"/>
                <w:szCs w:val="19"/>
              </w:rPr>
              <w:t>available built capacity is</w:t>
            </w:r>
            <w:r w:rsidR="007E00FE" w:rsidRPr="00A5561D">
              <w:rPr>
                <w:sz w:val="19"/>
                <w:szCs w:val="19"/>
              </w:rPr>
              <w:t xml:space="preserve"> greater than</w:t>
            </w:r>
            <w:r w:rsidR="00A12223" w:rsidRPr="00A5561D">
              <w:rPr>
                <w:sz w:val="19"/>
                <w:szCs w:val="19"/>
              </w:rPr>
              <w:t xml:space="preserve"> 10,000 tons per year. </w:t>
            </w:r>
          </w:p>
          <w:p w14:paraId="28048E4A" w14:textId="26E7BD51" w:rsidR="00084C5A" w:rsidRPr="00A5561D" w:rsidRDefault="00EE27B0" w:rsidP="00A5561D">
            <w:pPr>
              <w:spacing w:after="200" w:line="216"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Five</w:t>
            </w:r>
            <w:r w:rsidR="008F5560">
              <w:rPr>
                <w:sz w:val="19"/>
                <w:szCs w:val="19"/>
              </w:rPr>
              <w:t xml:space="preserve"> (5)</w:t>
            </w:r>
            <w:r w:rsidR="00A41951" w:rsidRPr="00A5561D">
              <w:rPr>
                <w:sz w:val="19"/>
                <w:szCs w:val="19"/>
              </w:rPr>
              <w:t xml:space="preserve"> farm</w:t>
            </w:r>
            <w:r w:rsidR="009A0A14" w:rsidRPr="00A5561D">
              <w:rPr>
                <w:sz w:val="19"/>
                <w:szCs w:val="19"/>
              </w:rPr>
              <w:t>-</w:t>
            </w:r>
            <w:r w:rsidR="00A41951" w:rsidRPr="00A5561D">
              <w:rPr>
                <w:sz w:val="19"/>
                <w:szCs w:val="19"/>
              </w:rPr>
              <w:t>based anaerobic dig</w:t>
            </w:r>
            <w:r w:rsidRPr="00A5561D">
              <w:rPr>
                <w:sz w:val="19"/>
                <w:szCs w:val="19"/>
              </w:rPr>
              <w:t xml:space="preserve">estion facilities </w:t>
            </w:r>
            <w:r w:rsidR="009A0A14" w:rsidRPr="00A5561D">
              <w:rPr>
                <w:sz w:val="19"/>
                <w:szCs w:val="19"/>
              </w:rPr>
              <w:t xml:space="preserve">that accept food waste </w:t>
            </w:r>
            <w:r w:rsidRPr="00A5561D">
              <w:rPr>
                <w:sz w:val="19"/>
                <w:szCs w:val="19"/>
              </w:rPr>
              <w:t xml:space="preserve">are within </w:t>
            </w:r>
            <w:r w:rsidR="005F180A" w:rsidRPr="00A5561D">
              <w:rPr>
                <w:sz w:val="19"/>
                <w:szCs w:val="19"/>
              </w:rPr>
              <w:t xml:space="preserve">50 miles of CRCOG; </w:t>
            </w:r>
            <w:r w:rsidR="009A0A14" w:rsidRPr="00A5561D">
              <w:rPr>
                <w:sz w:val="19"/>
                <w:szCs w:val="19"/>
              </w:rPr>
              <w:t>however</w:t>
            </w:r>
            <w:r w:rsidR="00305D3B" w:rsidRPr="00A5561D">
              <w:rPr>
                <w:sz w:val="19"/>
                <w:szCs w:val="19"/>
              </w:rPr>
              <w:t>, facilit</w:t>
            </w:r>
            <w:r w:rsidR="004E2CC2" w:rsidRPr="00A5561D">
              <w:rPr>
                <w:sz w:val="19"/>
                <w:szCs w:val="19"/>
              </w:rPr>
              <w:t xml:space="preserve">ies typically require pre-processing technologies to handle residential and commercial food waste. </w:t>
            </w:r>
            <w:r w:rsidR="002915D8" w:rsidRPr="00A5561D">
              <w:rPr>
                <w:sz w:val="19"/>
                <w:szCs w:val="19"/>
              </w:rPr>
              <w:t>Further vetting is needed to ascertain interest of the facilities in accepting the material and what facility upgrades are needed</w:t>
            </w:r>
            <w:r w:rsidR="00B33034" w:rsidRPr="00A5561D">
              <w:rPr>
                <w:sz w:val="19"/>
                <w:szCs w:val="19"/>
              </w:rPr>
              <w:t xml:space="preserve">. </w:t>
            </w:r>
          </w:p>
          <w:p w14:paraId="6474FA0C" w14:textId="48A39085" w:rsidR="00CE075D" w:rsidRPr="00A5561D" w:rsidRDefault="00084C5A" w:rsidP="00A5561D">
            <w:pPr>
              <w:spacing w:after="200" w:line="216"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N</w:t>
            </w:r>
            <w:r w:rsidR="00C456A0" w:rsidRPr="00A5561D">
              <w:rPr>
                <w:sz w:val="19"/>
                <w:szCs w:val="19"/>
              </w:rPr>
              <w:t xml:space="preserve">ew </w:t>
            </w:r>
            <w:r w:rsidR="00A342F5" w:rsidRPr="00A5561D">
              <w:rPr>
                <w:sz w:val="19"/>
                <w:szCs w:val="19"/>
              </w:rPr>
              <w:t xml:space="preserve">anaerobic digestion facilities are being considered in Southington, Coventry, and </w:t>
            </w:r>
            <w:r w:rsidR="009A0200" w:rsidRPr="00A5561D">
              <w:rPr>
                <w:sz w:val="19"/>
                <w:szCs w:val="19"/>
              </w:rPr>
              <w:t xml:space="preserve">Manchester which could add </w:t>
            </w:r>
            <w:r w:rsidR="005B5766" w:rsidRPr="00A5561D">
              <w:rPr>
                <w:sz w:val="19"/>
                <w:szCs w:val="19"/>
              </w:rPr>
              <w:t>more the 240,000 tons per year of additional capacity</w:t>
            </w:r>
            <w:r w:rsidR="00B33034" w:rsidRPr="00A5561D">
              <w:rPr>
                <w:sz w:val="19"/>
                <w:szCs w:val="19"/>
              </w:rPr>
              <w:t xml:space="preserve">. </w:t>
            </w:r>
            <w:r w:rsidR="00D87FF2" w:rsidRPr="00A5561D">
              <w:rPr>
                <w:sz w:val="19"/>
                <w:szCs w:val="19"/>
              </w:rPr>
              <w:t xml:space="preserve">These planned facilities becoming operational would trigger food waste </w:t>
            </w:r>
            <w:r w:rsidR="004C1357" w:rsidRPr="00A5561D">
              <w:rPr>
                <w:sz w:val="19"/>
                <w:szCs w:val="19"/>
              </w:rPr>
              <w:t xml:space="preserve">requirements for generators currently outside of the </w:t>
            </w:r>
            <w:r w:rsidR="000D2F66" w:rsidRPr="00A5561D">
              <w:rPr>
                <w:sz w:val="19"/>
                <w:szCs w:val="19"/>
              </w:rPr>
              <w:t xml:space="preserve">radius of facilities currently accepting food waste. </w:t>
            </w:r>
          </w:p>
          <w:p w14:paraId="46D5FF4B" w14:textId="4DC2CF36" w:rsidR="006C4EDE" w:rsidRPr="00A5561D" w:rsidRDefault="00CE075D" w:rsidP="00A5561D">
            <w:pPr>
              <w:spacing w:after="200" w:line="216" w:lineRule="auto"/>
              <w:jc w:val="left"/>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 xml:space="preserve">The </w:t>
            </w:r>
            <w:r w:rsidR="00824E5F" w:rsidRPr="00A5561D">
              <w:rPr>
                <w:sz w:val="19"/>
                <w:szCs w:val="19"/>
              </w:rPr>
              <w:t xml:space="preserve">Quantum Biopower </w:t>
            </w:r>
            <w:r w:rsidR="001631D8">
              <w:rPr>
                <w:sz w:val="19"/>
                <w:szCs w:val="19"/>
              </w:rPr>
              <w:t>anaerobic digestion (</w:t>
            </w:r>
            <w:r w:rsidR="00824E5F" w:rsidRPr="00A5561D">
              <w:rPr>
                <w:sz w:val="19"/>
                <w:szCs w:val="19"/>
              </w:rPr>
              <w:t>AD</w:t>
            </w:r>
            <w:r w:rsidR="001631D8">
              <w:rPr>
                <w:sz w:val="19"/>
                <w:szCs w:val="19"/>
              </w:rPr>
              <w:t>)</w:t>
            </w:r>
            <w:r w:rsidR="00824E5F" w:rsidRPr="00A5561D">
              <w:rPr>
                <w:sz w:val="19"/>
                <w:szCs w:val="19"/>
              </w:rPr>
              <w:t xml:space="preserve"> facility in Southing</w:t>
            </w:r>
            <w:r w:rsidR="00192D5B" w:rsidRPr="00A5561D">
              <w:rPr>
                <w:sz w:val="19"/>
                <w:szCs w:val="19"/>
              </w:rPr>
              <w:t>ton</w:t>
            </w:r>
            <w:r w:rsidR="00824E5F" w:rsidRPr="00A5561D">
              <w:rPr>
                <w:sz w:val="19"/>
                <w:szCs w:val="19"/>
              </w:rPr>
              <w:t xml:space="preserve"> is</w:t>
            </w:r>
            <w:r>
              <w:rPr>
                <w:sz w:val="19"/>
                <w:szCs w:val="19"/>
              </w:rPr>
              <w:t xml:space="preserve"> co-located with the</w:t>
            </w:r>
            <w:r w:rsidR="00824E5F" w:rsidRPr="00A5561D">
              <w:rPr>
                <w:sz w:val="19"/>
                <w:szCs w:val="19"/>
              </w:rPr>
              <w:t xml:space="preserve"> Supreme </w:t>
            </w:r>
            <w:r w:rsidR="00192D5B" w:rsidRPr="00A5561D">
              <w:rPr>
                <w:sz w:val="19"/>
                <w:szCs w:val="19"/>
              </w:rPr>
              <w:t xml:space="preserve">Forest </w:t>
            </w:r>
            <w:r w:rsidR="00824E5F" w:rsidRPr="00A5561D">
              <w:rPr>
                <w:sz w:val="19"/>
                <w:szCs w:val="19"/>
              </w:rPr>
              <w:t>Products yard waste compos</w:t>
            </w:r>
            <w:r w:rsidR="00DE22D4">
              <w:rPr>
                <w:sz w:val="19"/>
                <w:szCs w:val="19"/>
              </w:rPr>
              <w:t>t</w:t>
            </w:r>
            <w:r w:rsidR="00824E5F" w:rsidRPr="00A5561D">
              <w:rPr>
                <w:sz w:val="19"/>
                <w:szCs w:val="19"/>
              </w:rPr>
              <w:t xml:space="preserve">ing facility which </w:t>
            </w:r>
            <w:r w:rsidR="0079798F" w:rsidRPr="00A5561D">
              <w:rPr>
                <w:sz w:val="19"/>
                <w:szCs w:val="19"/>
              </w:rPr>
              <w:t xml:space="preserve">has </w:t>
            </w:r>
            <w:r w:rsidR="00192D5B" w:rsidRPr="00A5561D">
              <w:rPr>
                <w:sz w:val="19"/>
                <w:szCs w:val="19"/>
              </w:rPr>
              <w:t>200k</w:t>
            </w:r>
            <w:r w:rsidR="000E37D0" w:rsidRPr="00A5561D">
              <w:rPr>
                <w:sz w:val="19"/>
                <w:szCs w:val="19"/>
              </w:rPr>
              <w:t xml:space="preserve"> cubic yard, or ~ 25k</w:t>
            </w:r>
            <w:r w:rsidR="00192D5B" w:rsidRPr="00A5561D">
              <w:rPr>
                <w:sz w:val="19"/>
                <w:szCs w:val="19"/>
              </w:rPr>
              <w:t xml:space="preserve"> tpy capacity</w:t>
            </w:r>
            <w:r w:rsidR="006C4EDE" w:rsidRPr="00A5561D">
              <w:rPr>
                <w:sz w:val="19"/>
                <w:szCs w:val="19"/>
              </w:rPr>
              <w:t>. CRCOG communities currently send about 4,000 tons per year to this facility</w:t>
            </w:r>
            <w:r w:rsidR="00171C1C" w:rsidRPr="00A5561D">
              <w:rPr>
                <w:sz w:val="19"/>
                <w:szCs w:val="19"/>
              </w:rPr>
              <w:t xml:space="preserve">. </w:t>
            </w:r>
            <w:r w:rsidR="00ED6A2C" w:rsidRPr="00A5561D">
              <w:rPr>
                <w:sz w:val="19"/>
                <w:szCs w:val="19"/>
              </w:rPr>
              <w:t>Many CRCOG communities have small</w:t>
            </w:r>
            <w:r w:rsidR="00DE22D4">
              <w:rPr>
                <w:sz w:val="19"/>
                <w:szCs w:val="19"/>
              </w:rPr>
              <w:t xml:space="preserve">-scale </w:t>
            </w:r>
            <w:r w:rsidR="00ED6A2C" w:rsidRPr="00A5561D">
              <w:rPr>
                <w:sz w:val="19"/>
                <w:szCs w:val="19"/>
              </w:rPr>
              <w:t xml:space="preserve">leaf composting operations. </w:t>
            </w:r>
            <w:r w:rsidR="00B3158B">
              <w:rPr>
                <w:sz w:val="19"/>
                <w:szCs w:val="19"/>
              </w:rPr>
              <w:t xml:space="preserve">The </w:t>
            </w:r>
            <w:r w:rsidR="00A026B4" w:rsidRPr="00A5561D">
              <w:rPr>
                <w:sz w:val="19"/>
                <w:szCs w:val="19"/>
              </w:rPr>
              <w:t>WeCare</w:t>
            </w:r>
            <w:r w:rsidR="00B1796D">
              <w:rPr>
                <w:sz w:val="19"/>
                <w:szCs w:val="19"/>
              </w:rPr>
              <w:t xml:space="preserve"> composting facilit</w:t>
            </w:r>
            <w:r w:rsidR="002B525F">
              <w:rPr>
                <w:sz w:val="19"/>
                <w:szCs w:val="19"/>
              </w:rPr>
              <w:t>ies</w:t>
            </w:r>
            <w:r w:rsidR="00B1796D">
              <w:rPr>
                <w:sz w:val="19"/>
                <w:szCs w:val="19"/>
              </w:rPr>
              <w:t xml:space="preserve"> in</w:t>
            </w:r>
            <w:r w:rsidR="00A026B4" w:rsidRPr="00A5561D">
              <w:rPr>
                <w:sz w:val="19"/>
                <w:szCs w:val="19"/>
              </w:rPr>
              <w:t xml:space="preserve"> </w:t>
            </w:r>
            <w:r w:rsidR="002B525F">
              <w:rPr>
                <w:sz w:val="19"/>
                <w:szCs w:val="19"/>
              </w:rPr>
              <w:t xml:space="preserve">Ellington and </w:t>
            </w:r>
            <w:r w:rsidR="00A026B4" w:rsidRPr="00A5561D">
              <w:rPr>
                <w:sz w:val="19"/>
                <w:szCs w:val="19"/>
              </w:rPr>
              <w:t>Farmington</w:t>
            </w:r>
            <w:r w:rsidR="002B525F">
              <w:rPr>
                <w:sz w:val="19"/>
                <w:szCs w:val="19"/>
              </w:rPr>
              <w:t xml:space="preserve"> are</w:t>
            </w:r>
            <w:r w:rsidR="00A026B4" w:rsidRPr="00A5561D">
              <w:rPr>
                <w:sz w:val="19"/>
                <w:szCs w:val="19"/>
              </w:rPr>
              <w:t xml:space="preserve"> within</w:t>
            </w:r>
            <w:r w:rsidR="008C1F74">
              <w:rPr>
                <w:sz w:val="19"/>
                <w:szCs w:val="19"/>
              </w:rPr>
              <w:t xml:space="preserve"> </w:t>
            </w:r>
            <w:r w:rsidR="00A026B4" w:rsidRPr="00A5561D">
              <w:rPr>
                <w:sz w:val="19"/>
                <w:szCs w:val="19"/>
              </w:rPr>
              <w:t>CRCOG</w:t>
            </w:r>
            <w:r w:rsidR="003413CC">
              <w:rPr>
                <w:sz w:val="19"/>
                <w:szCs w:val="19"/>
              </w:rPr>
              <w:t xml:space="preserve">. </w:t>
            </w:r>
            <w:r w:rsidR="006775A4">
              <w:rPr>
                <w:sz w:val="19"/>
                <w:szCs w:val="19"/>
              </w:rPr>
              <w:t>The c</w:t>
            </w:r>
            <w:r w:rsidR="001B31FB" w:rsidRPr="00A5561D">
              <w:rPr>
                <w:sz w:val="19"/>
                <w:szCs w:val="19"/>
              </w:rPr>
              <w:t>apacit</w:t>
            </w:r>
            <w:r w:rsidR="006775A4">
              <w:rPr>
                <w:sz w:val="19"/>
                <w:szCs w:val="19"/>
              </w:rPr>
              <w:t>ies of these facilities</w:t>
            </w:r>
            <w:r w:rsidR="001B31FB" w:rsidRPr="00A5561D">
              <w:rPr>
                <w:sz w:val="19"/>
                <w:szCs w:val="19"/>
              </w:rPr>
              <w:t xml:space="preserve"> </w:t>
            </w:r>
            <w:r w:rsidR="006775A4">
              <w:rPr>
                <w:sz w:val="19"/>
                <w:szCs w:val="19"/>
              </w:rPr>
              <w:t>are</w:t>
            </w:r>
            <w:r w:rsidR="001B31FB" w:rsidRPr="00A5561D">
              <w:rPr>
                <w:sz w:val="19"/>
                <w:szCs w:val="19"/>
              </w:rPr>
              <w:t xml:space="preserve"> unknown</w:t>
            </w:r>
            <w:r w:rsidR="00F70854">
              <w:rPr>
                <w:sz w:val="19"/>
                <w:szCs w:val="19"/>
              </w:rPr>
              <w:t xml:space="preserve"> at this time</w:t>
            </w:r>
            <w:r w:rsidR="00A026B4" w:rsidRPr="00A5561D">
              <w:rPr>
                <w:sz w:val="19"/>
                <w:szCs w:val="19"/>
              </w:rPr>
              <w:t>.</w:t>
            </w:r>
            <w:r w:rsidR="009A0200" w:rsidRPr="00A5561D">
              <w:rPr>
                <w:sz w:val="19"/>
                <w:szCs w:val="19"/>
              </w:rPr>
              <w:t xml:space="preserve"> </w:t>
            </w:r>
            <w:r w:rsidR="000063A2" w:rsidRPr="00A5561D">
              <w:rPr>
                <w:sz w:val="19"/>
                <w:szCs w:val="19"/>
              </w:rPr>
              <w:t xml:space="preserve">There are approximately </w:t>
            </w:r>
            <w:r w:rsidR="00F70854">
              <w:rPr>
                <w:sz w:val="19"/>
                <w:szCs w:val="19"/>
              </w:rPr>
              <w:t xml:space="preserve">ten (10) </w:t>
            </w:r>
            <w:r w:rsidR="00B5651B" w:rsidRPr="00A5561D">
              <w:rPr>
                <w:sz w:val="19"/>
                <w:szCs w:val="19"/>
              </w:rPr>
              <w:t>yard</w:t>
            </w:r>
            <w:r w:rsidR="000063A2" w:rsidRPr="00A5561D">
              <w:rPr>
                <w:sz w:val="19"/>
                <w:szCs w:val="19"/>
              </w:rPr>
              <w:t xml:space="preserve"> waste composting facilities within 50 miles of CRCOG. </w:t>
            </w:r>
            <w:r w:rsidR="006D535E" w:rsidRPr="00A5561D">
              <w:rPr>
                <w:sz w:val="19"/>
                <w:szCs w:val="19"/>
              </w:rPr>
              <w:t xml:space="preserve">If additional </w:t>
            </w:r>
            <w:r w:rsidR="0088419F">
              <w:rPr>
                <w:sz w:val="19"/>
                <w:szCs w:val="19"/>
              </w:rPr>
              <w:t>AD</w:t>
            </w:r>
            <w:r w:rsidR="006D535E" w:rsidRPr="00A5561D">
              <w:rPr>
                <w:sz w:val="19"/>
                <w:szCs w:val="19"/>
              </w:rPr>
              <w:t xml:space="preserve"> facilities are sited locally, additional composting facilities </w:t>
            </w:r>
            <w:r w:rsidR="00B144FA" w:rsidRPr="00A5561D">
              <w:rPr>
                <w:sz w:val="19"/>
                <w:szCs w:val="19"/>
              </w:rPr>
              <w:t>to process the digestate</w:t>
            </w:r>
            <w:r w:rsidR="00F43C3D">
              <w:rPr>
                <w:sz w:val="19"/>
                <w:szCs w:val="19"/>
              </w:rPr>
              <w:t xml:space="preserve"> with yard waste could</w:t>
            </w:r>
            <w:r w:rsidR="00B144FA" w:rsidRPr="00A5561D">
              <w:rPr>
                <w:sz w:val="19"/>
                <w:szCs w:val="19"/>
              </w:rPr>
              <w:t xml:space="preserve"> be needed. </w:t>
            </w:r>
          </w:p>
          <w:p w14:paraId="08B4049D" w14:textId="46C8F375" w:rsidR="006C4EDE" w:rsidRPr="00A5561D" w:rsidRDefault="006C4EDE" w:rsidP="00A5561D">
            <w:pPr>
              <w:spacing w:after="200" w:line="216"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 xml:space="preserve">Compost facilities that currently accept </w:t>
            </w:r>
            <w:r w:rsidR="002F141F" w:rsidRPr="00A5561D">
              <w:rPr>
                <w:sz w:val="19"/>
                <w:szCs w:val="19"/>
              </w:rPr>
              <w:t>commingled food and yard waste have not been identified.</w:t>
            </w:r>
          </w:p>
        </w:tc>
      </w:tr>
      <w:tr w:rsidR="008A7DFC" w14:paraId="7769DDA4" w14:textId="77777777" w:rsidTr="00A5561D">
        <w:trPr>
          <w:trHeight w:val="424"/>
        </w:trPr>
        <w:tc>
          <w:tcPr>
            <w:cnfStyle w:val="001000000000" w:firstRow="0" w:lastRow="0" w:firstColumn="1" w:lastColumn="0" w:oddVBand="0" w:evenVBand="0" w:oddHBand="0" w:evenHBand="0" w:firstRowFirstColumn="0" w:firstRowLastColumn="0" w:lastRowFirstColumn="0" w:lastRowLastColumn="0"/>
            <w:tcW w:w="1055" w:type="dxa"/>
          </w:tcPr>
          <w:p w14:paraId="70C80418" w14:textId="6AC99F79" w:rsidR="008A7DFC" w:rsidRPr="00A5561D" w:rsidRDefault="00C05957" w:rsidP="00A5561D">
            <w:pPr>
              <w:jc w:val="center"/>
              <w:rPr>
                <w:sz w:val="19"/>
                <w:szCs w:val="19"/>
              </w:rPr>
            </w:pPr>
            <w:r w:rsidRPr="00A5561D">
              <w:rPr>
                <w:rFonts w:ascii="Segoe UI Symbol" w:hAnsi="Segoe UI Symbol" w:cs="Segoe UI Symbol"/>
                <w:sz w:val="19"/>
                <w:szCs w:val="19"/>
              </w:rPr>
              <w:t>◔</w:t>
            </w:r>
          </w:p>
        </w:tc>
        <w:tc>
          <w:tcPr>
            <w:tcW w:w="1685" w:type="dxa"/>
          </w:tcPr>
          <w:p w14:paraId="44520641" w14:textId="48AB7335" w:rsidR="008A7DFC" w:rsidRPr="00A5561D" w:rsidRDefault="008A7DFC" w:rsidP="00A5561D">
            <w:pPr>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Hard to Recycle</w:t>
            </w:r>
          </w:p>
        </w:tc>
        <w:tc>
          <w:tcPr>
            <w:tcW w:w="7503" w:type="dxa"/>
          </w:tcPr>
          <w:p w14:paraId="4AFF1B62" w14:textId="3D739FA4" w:rsidR="00C05957" w:rsidRPr="00A5561D" w:rsidRDefault="0067611E" w:rsidP="00A5561D">
            <w:pPr>
              <w:spacing w:after="200" w:line="216"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Drop-offs for source separated materials do not require processing, thus are not noted as a gap</w:t>
            </w:r>
            <w:r w:rsidR="00AF12C0" w:rsidRPr="00A5561D">
              <w:rPr>
                <w:sz w:val="19"/>
                <w:szCs w:val="19"/>
              </w:rPr>
              <w:t>.</w:t>
            </w:r>
          </w:p>
          <w:p w14:paraId="19C6B712" w14:textId="6B625FC7" w:rsidR="004A66C6" w:rsidRPr="00A5561D" w:rsidRDefault="0067611E" w:rsidP="00A5561D">
            <w:pPr>
              <w:spacing w:after="200" w:line="216"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 xml:space="preserve">Gap in ability of existing systems to recover textiles, plastic films, and smaller format plastics were identified, but are not unique to the </w:t>
            </w:r>
            <w:r w:rsidR="00BD0812" w:rsidRPr="00A5561D">
              <w:rPr>
                <w:sz w:val="19"/>
                <w:szCs w:val="19"/>
              </w:rPr>
              <w:t>region</w:t>
            </w:r>
            <w:r w:rsidRPr="00A5561D">
              <w:rPr>
                <w:sz w:val="19"/>
                <w:szCs w:val="19"/>
              </w:rPr>
              <w:t xml:space="preserve">. </w:t>
            </w:r>
          </w:p>
        </w:tc>
      </w:tr>
      <w:tr w:rsidR="006C3D5A" w14:paraId="6D2ECEE8" w14:textId="77777777" w:rsidTr="00A5561D">
        <w:trPr>
          <w:trHeight w:val="424"/>
        </w:trPr>
        <w:tc>
          <w:tcPr>
            <w:cnfStyle w:val="001000000000" w:firstRow="0" w:lastRow="0" w:firstColumn="1" w:lastColumn="0" w:oddVBand="0" w:evenVBand="0" w:oddHBand="0" w:evenHBand="0" w:firstRowFirstColumn="0" w:firstRowLastColumn="0" w:lastRowFirstColumn="0" w:lastRowLastColumn="0"/>
            <w:tcW w:w="1055" w:type="dxa"/>
            <w:vAlign w:val="top"/>
          </w:tcPr>
          <w:p w14:paraId="3A7E52B8" w14:textId="77777777" w:rsidR="004A66C6" w:rsidRPr="00A5561D" w:rsidRDefault="004A66C6" w:rsidP="00A5561D">
            <w:pPr>
              <w:pStyle w:val="ListParagraph"/>
              <w:jc w:val="center"/>
              <w:rPr>
                <w:noProof/>
                <w:sz w:val="19"/>
                <w:szCs w:val="19"/>
              </w:rPr>
            </w:pPr>
          </w:p>
          <w:p w14:paraId="7201E678" w14:textId="67F6F6D9" w:rsidR="006C3D5A" w:rsidRPr="00AC794D" w:rsidRDefault="00AC794D" w:rsidP="00AC794D">
            <w:pPr>
              <w:jc w:val="center"/>
              <w:rPr>
                <w:rFonts w:ascii="HARVEY BALLS" w:hAnsi="HARVEY BALLS" w:hint="eastAsia"/>
                <w:sz w:val="19"/>
                <w:szCs w:val="19"/>
              </w:rPr>
            </w:pPr>
            <w:r w:rsidRPr="00AC794D">
              <w:rPr>
                <w:rFonts w:ascii="Segoe UI Symbol" w:eastAsia="Segoe UI Symbol" w:hAnsi="Segoe UI Symbol"/>
                <w:sz w:val="16"/>
                <w:szCs w:val="15"/>
                <w:lang w:eastAsia="ja-JP"/>
              </w:rPr>
              <w:t>◯</w:t>
            </w:r>
          </w:p>
        </w:tc>
        <w:tc>
          <w:tcPr>
            <w:tcW w:w="1685" w:type="dxa"/>
            <w:vAlign w:val="top"/>
          </w:tcPr>
          <w:p w14:paraId="28681D10" w14:textId="77777777" w:rsidR="004A66C6" w:rsidRPr="00A5561D" w:rsidRDefault="004A66C6" w:rsidP="00A5561D">
            <w:pPr>
              <w:jc w:val="left"/>
              <w:cnfStyle w:val="000000000000" w:firstRow="0" w:lastRow="0" w:firstColumn="0" w:lastColumn="0" w:oddVBand="0" w:evenVBand="0" w:oddHBand="0" w:evenHBand="0" w:firstRowFirstColumn="0" w:firstRowLastColumn="0" w:lastRowFirstColumn="0" w:lastRowLastColumn="0"/>
              <w:rPr>
                <w:sz w:val="19"/>
                <w:szCs w:val="19"/>
              </w:rPr>
            </w:pPr>
          </w:p>
          <w:p w14:paraId="4DF37B69" w14:textId="2E7DBA7D" w:rsidR="006C3D5A" w:rsidRPr="00A5561D" w:rsidRDefault="00251BD0" w:rsidP="00A5561D">
            <w:pPr>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Waste Transfer &amp; Disposal Capacity</w:t>
            </w:r>
          </w:p>
        </w:tc>
        <w:tc>
          <w:tcPr>
            <w:tcW w:w="7503" w:type="dxa"/>
          </w:tcPr>
          <w:p w14:paraId="511A1C32" w14:textId="11E4BCF7" w:rsidR="00A30ABB" w:rsidRDefault="00E55035" w:rsidP="00F1385A">
            <w:pPr>
              <w:cnfStyle w:val="000000000000" w:firstRow="0" w:lastRow="0" w:firstColumn="0" w:lastColumn="0" w:oddVBand="0" w:evenVBand="0" w:oddHBand="0" w:evenHBand="0" w:firstRowFirstColumn="0" w:firstRowLastColumn="0" w:lastRowFirstColumn="0" w:lastRowLastColumn="0"/>
            </w:pPr>
            <w:r w:rsidRPr="0085729A">
              <w:t>2,</w:t>
            </w:r>
            <w:r w:rsidR="00D0732B">
              <w:t>020</w:t>
            </w:r>
            <w:r w:rsidRPr="0085729A">
              <w:t xml:space="preserve"> TPD</w:t>
            </w:r>
            <w:r>
              <w:t xml:space="preserve"> of disposal capacity is needed based on Tetra Tech </w:t>
            </w:r>
            <w:r w:rsidR="00B45CBD">
              <w:t>alternative waste generation rate calculation</w:t>
            </w:r>
            <w:r>
              <w:t>.</w:t>
            </w:r>
          </w:p>
          <w:p w14:paraId="45D4BD84" w14:textId="77777777" w:rsidR="00F1385A" w:rsidRPr="00F1385A" w:rsidRDefault="00F1385A" w:rsidP="00F1385A">
            <w:pPr>
              <w:cnfStyle w:val="000000000000" w:firstRow="0" w:lastRow="0" w:firstColumn="0" w:lastColumn="0" w:oddVBand="0" w:evenVBand="0" w:oddHBand="0" w:evenHBand="0" w:firstRowFirstColumn="0" w:firstRowLastColumn="0" w:lastRowFirstColumn="0" w:lastRowLastColumn="0"/>
            </w:pPr>
          </w:p>
          <w:p w14:paraId="70509D07" w14:textId="5682B167" w:rsidR="00BB68BB" w:rsidRPr="00A5561D" w:rsidRDefault="00BB68BB" w:rsidP="00A5561D">
            <w:pPr>
              <w:spacing w:after="200" w:line="216"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 xml:space="preserve">There is virtually no landfill disposal capacity identified within 100 miles of CRCOG. Between 100 miles and 150 miles minor airspace capacity is available that may serve small communities of limited waste streams, for example C&amp;D debris. </w:t>
            </w:r>
            <w:r w:rsidR="00D760AC">
              <w:rPr>
                <w:sz w:val="19"/>
                <w:szCs w:val="19"/>
              </w:rPr>
              <w:t>74,000 TPD of landfill cap</w:t>
            </w:r>
            <w:r w:rsidR="00D25DE7">
              <w:rPr>
                <w:sz w:val="19"/>
                <w:szCs w:val="19"/>
              </w:rPr>
              <w:t>acity is available within a 350-mile distance from CRCOG.</w:t>
            </w:r>
          </w:p>
          <w:p w14:paraId="5B5CD0D7" w14:textId="72A340E0" w:rsidR="00BB68BB" w:rsidRPr="00A5561D" w:rsidRDefault="00206353" w:rsidP="00A5561D">
            <w:pPr>
              <w:spacing w:after="200" w:line="216"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 xml:space="preserve">There </w:t>
            </w:r>
            <w:r w:rsidR="001A7563">
              <w:rPr>
                <w:sz w:val="19"/>
                <w:szCs w:val="19"/>
              </w:rPr>
              <w:t>are 37 WTE facilities with</w:t>
            </w:r>
            <w:r w:rsidRPr="00A5561D">
              <w:rPr>
                <w:sz w:val="19"/>
                <w:szCs w:val="19"/>
              </w:rPr>
              <w:t xml:space="preserve"> </w:t>
            </w:r>
            <w:r w:rsidR="00BB68BB" w:rsidRPr="00A5561D">
              <w:rPr>
                <w:sz w:val="19"/>
                <w:szCs w:val="19"/>
              </w:rPr>
              <w:t xml:space="preserve">approximately 3,450 TPD of available </w:t>
            </w:r>
            <w:r w:rsidR="001A7563">
              <w:rPr>
                <w:sz w:val="19"/>
                <w:szCs w:val="19"/>
              </w:rPr>
              <w:t xml:space="preserve">combined </w:t>
            </w:r>
            <w:r w:rsidR="00BB68BB" w:rsidRPr="00A5561D">
              <w:rPr>
                <w:sz w:val="19"/>
                <w:szCs w:val="19"/>
              </w:rPr>
              <w:t>WTE capacity</w:t>
            </w:r>
            <w:r w:rsidRPr="00A5561D">
              <w:rPr>
                <w:sz w:val="19"/>
                <w:szCs w:val="19"/>
              </w:rPr>
              <w:t xml:space="preserve"> in a </w:t>
            </w:r>
            <w:r w:rsidR="00B5651B" w:rsidRPr="00A5561D">
              <w:rPr>
                <w:sz w:val="19"/>
                <w:szCs w:val="19"/>
              </w:rPr>
              <w:t>350-mile</w:t>
            </w:r>
            <w:r w:rsidRPr="00A5561D">
              <w:rPr>
                <w:sz w:val="19"/>
                <w:szCs w:val="19"/>
              </w:rPr>
              <w:t xml:space="preserve"> radius</w:t>
            </w:r>
            <w:r w:rsidR="00BB68BB" w:rsidRPr="00A5561D">
              <w:rPr>
                <w:sz w:val="19"/>
                <w:szCs w:val="19"/>
              </w:rPr>
              <w:t>.</w:t>
            </w:r>
            <w:r w:rsidRPr="00A5561D">
              <w:rPr>
                <w:rStyle w:val="FootnoteReference"/>
                <w:sz w:val="19"/>
                <w:szCs w:val="19"/>
              </w:rPr>
              <w:footnoteReference w:id="19"/>
            </w:r>
          </w:p>
          <w:p w14:paraId="445D5A9F" w14:textId="7BB9B67D" w:rsidR="006C3D5A" w:rsidRDefault="008032DC" w:rsidP="00A5561D">
            <w:pPr>
              <w:spacing w:after="200" w:line="216"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 xml:space="preserve">Transfer station </w:t>
            </w:r>
            <w:r w:rsidR="00B75CB7" w:rsidRPr="00A5561D">
              <w:rPr>
                <w:sz w:val="19"/>
                <w:szCs w:val="19"/>
              </w:rPr>
              <w:t xml:space="preserve">capacity </w:t>
            </w:r>
            <w:r w:rsidRPr="00A5561D">
              <w:rPr>
                <w:sz w:val="19"/>
                <w:szCs w:val="19"/>
              </w:rPr>
              <w:t>with</w:t>
            </w:r>
            <w:r w:rsidR="00B75CB7" w:rsidRPr="00A5561D">
              <w:rPr>
                <w:sz w:val="19"/>
                <w:szCs w:val="19"/>
              </w:rPr>
              <w:t>in</w:t>
            </w:r>
            <w:r w:rsidRPr="00A5561D">
              <w:rPr>
                <w:sz w:val="19"/>
                <w:szCs w:val="19"/>
              </w:rPr>
              <w:t xml:space="preserve"> 50 miles of CRCOG is lacking</w:t>
            </w:r>
            <w:r w:rsidR="00FE3B3B" w:rsidRPr="00A5561D">
              <w:rPr>
                <w:sz w:val="19"/>
                <w:szCs w:val="19"/>
              </w:rPr>
              <w:t xml:space="preserve"> with only 1</w:t>
            </w:r>
            <w:r w:rsidR="00E44158">
              <w:rPr>
                <w:sz w:val="19"/>
                <w:szCs w:val="19"/>
              </w:rPr>
              <w:t>,</w:t>
            </w:r>
            <w:r w:rsidR="00FE3B3B" w:rsidRPr="00A5561D">
              <w:rPr>
                <w:sz w:val="19"/>
                <w:szCs w:val="19"/>
              </w:rPr>
              <w:t xml:space="preserve">650 TPD available </w:t>
            </w:r>
            <w:r w:rsidR="00846BC8" w:rsidRPr="00A5561D">
              <w:rPr>
                <w:sz w:val="19"/>
                <w:szCs w:val="19"/>
              </w:rPr>
              <w:t xml:space="preserve">transfer waste capacity from 192 facilities with a median value of 8.6 </w:t>
            </w:r>
            <w:r w:rsidR="002D037B" w:rsidRPr="00A5561D">
              <w:rPr>
                <w:sz w:val="19"/>
                <w:szCs w:val="19"/>
              </w:rPr>
              <w:t xml:space="preserve">TPD </w:t>
            </w:r>
            <w:r w:rsidR="00846BC8" w:rsidRPr="00A5561D">
              <w:rPr>
                <w:sz w:val="19"/>
                <w:szCs w:val="19"/>
              </w:rPr>
              <w:t xml:space="preserve">capacity per </w:t>
            </w:r>
            <w:r w:rsidR="00623F8E" w:rsidRPr="00A5561D">
              <w:rPr>
                <w:sz w:val="19"/>
                <w:szCs w:val="19"/>
              </w:rPr>
              <w:t>facility</w:t>
            </w:r>
            <w:r w:rsidR="00846BC8" w:rsidRPr="00A5561D">
              <w:rPr>
                <w:sz w:val="19"/>
                <w:szCs w:val="19"/>
              </w:rPr>
              <w:t xml:space="preserve">. </w:t>
            </w:r>
            <w:r w:rsidR="00BB68BB" w:rsidRPr="00A5561D">
              <w:rPr>
                <w:sz w:val="19"/>
                <w:szCs w:val="19"/>
              </w:rPr>
              <w:t xml:space="preserve">Tetra Tech considers this a ‘paper capacity’ indicating that the region is lacking transfer station capacity. </w:t>
            </w:r>
          </w:p>
          <w:p w14:paraId="10D241B1" w14:textId="5E7C0D2C" w:rsidR="00F1385A" w:rsidRPr="00A5561D" w:rsidRDefault="00F1385A" w:rsidP="00A5561D">
            <w:pPr>
              <w:spacing w:after="200" w:line="216" w:lineRule="auto"/>
              <w:jc w:val="left"/>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Methodology and more details on inventory findings can be found in Appendix A.</w:t>
            </w:r>
          </w:p>
        </w:tc>
      </w:tr>
      <w:tr w:rsidR="006C3D5A" w14:paraId="5EE13EF5" w14:textId="77777777" w:rsidTr="00A5561D">
        <w:trPr>
          <w:trHeight w:val="424"/>
        </w:trPr>
        <w:tc>
          <w:tcPr>
            <w:cnfStyle w:val="001000000000" w:firstRow="0" w:lastRow="0" w:firstColumn="1" w:lastColumn="0" w:oddVBand="0" w:evenVBand="0" w:oddHBand="0" w:evenHBand="0" w:firstRowFirstColumn="0" w:firstRowLastColumn="0" w:lastRowFirstColumn="0" w:lastRowLastColumn="0"/>
            <w:tcW w:w="1055" w:type="dxa"/>
          </w:tcPr>
          <w:p w14:paraId="2B0FCE43" w14:textId="32AFD5FA" w:rsidR="006C3D5A" w:rsidRPr="00A5561D" w:rsidRDefault="007B3BCE" w:rsidP="00A5561D">
            <w:pPr>
              <w:jc w:val="center"/>
              <w:rPr>
                <w:rFonts w:ascii="HARVEY BALLS" w:hAnsi="HARVEY BALLS" w:hint="eastAsia"/>
                <w:sz w:val="19"/>
                <w:szCs w:val="19"/>
              </w:rPr>
            </w:pPr>
            <w:r w:rsidRPr="007B3BCE">
              <w:rPr>
                <w:noProof/>
                <w:sz w:val="36"/>
                <w:szCs w:val="36"/>
              </w:rPr>
              <w:t>●</w:t>
            </w:r>
          </w:p>
        </w:tc>
        <w:tc>
          <w:tcPr>
            <w:tcW w:w="1685" w:type="dxa"/>
          </w:tcPr>
          <w:p w14:paraId="1868B8D5" w14:textId="0F9A8BD3" w:rsidR="006C3D5A" w:rsidRPr="00A5561D" w:rsidRDefault="006C3D5A" w:rsidP="00A5561D">
            <w:pPr>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 xml:space="preserve">MRF/Recycling </w:t>
            </w:r>
            <w:r w:rsidR="00F5359C" w:rsidRPr="00A5561D">
              <w:rPr>
                <w:sz w:val="19"/>
                <w:szCs w:val="19"/>
              </w:rPr>
              <w:t>T</w:t>
            </w:r>
            <w:r w:rsidRPr="00A5561D">
              <w:rPr>
                <w:sz w:val="19"/>
                <w:szCs w:val="19"/>
              </w:rPr>
              <w:t xml:space="preserve">ransfer </w:t>
            </w:r>
            <w:r w:rsidR="00F5359C" w:rsidRPr="00A5561D">
              <w:rPr>
                <w:sz w:val="19"/>
                <w:szCs w:val="19"/>
              </w:rPr>
              <w:t>S</w:t>
            </w:r>
            <w:r w:rsidRPr="00A5561D">
              <w:rPr>
                <w:sz w:val="19"/>
                <w:szCs w:val="19"/>
              </w:rPr>
              <w:t>tation within 30 miles</w:t>
            </w:r>
          </w:p>
        </w:tc>
        <w:tc>
          <w:tcPr>
            <w:tcW w:w="7503" w:type="dxa"/>
          </w:tcPr>
          <w:p w14:paraId="291A8C57" w14:textId="011C8FF3" w:rsidR="00ED0014" w:rsidRPr="00A5561D" w:rsidRDefault="00230DC1" w:rsidP="00A5561D">
            <w:pPr>
              <w:spacing w:after="200" w:line="216" w:lineRule="auto"/>
              <w:jc w:val="left"/>
              <w:cnfStyle w:val="000000000000" w:firstRow="0" w:lastRow="0" w:firstColumn="0" w:lastColumn="0" w:oddVBand="0" w:evenVBand="0" w:oddHBand="0" w:evenHBand="0" w:firstRowFirstColumn="0" w:firstRowLastColumn="0" w:lastRowFirstColumn="0" w:lastRowLastColumn="0"/>
              <w:rPr>
                <w:b/>
                <w:bCs/>
                <w:sz w:val="19"/>
                <w:szCs w:val="19"/>
              </w:rPr>
            </w:pPr>
            <w:r w:rsidRPr="00A5561D">
              <w:rPr>
                <w:sz w:val="19"/>
                <w:szCs w:val="19"/>
              </w:rPr>
              <w:t>There are multiple MRFs within 30 miles of CRCOG.</w:t>
            </w:r>
            <w:r w:rsidR="00ED0014" w:rsidRPr="00A5561D">
              <w:rPr>
                <w:sz w:val="19"/>
                <w:szCs w:val="19"/>
              </w:rPr>
              <w:t xml:space="preserve"> </w:t>
            </w:r>
          </w:p>
          <w:p w14:paraId="6B0CA975" w14:textId="6B9568A3" w:rsidR="00230DC1" w:rsidRPr="00A5561D" w:rsidRDefault="00ED0014" w:rsidP="00A5561D">
            <w:pPr>
              <w:spacing w:after="200" w:line="216" w:lineRule="auto"/>
              <w:jc w:val="left"/>
              <w:cnfStyle w:val="000000000000" w:firstRow="0" w:lastRow="0" w:firstColumn="0" w:lastColumn="0" w:oddVBand="0" w:evenVBand="0" w:oddHBand="0" w:evenHBand="0" w:firstRowFirstColumn="0" w:firstRowLastColumn="0" w:lastRowFirstColumn="0" w:lastRowLastColumn="0"/>
              <w:rPr>
                <w:b/>
                <w:bCs/>
                <w:sz w:val="19"/>
                <w:szCs w:val="19"/>
              </w:rPr>
            </w:pPr>
            <w:r w:rsidRPr="00A5561D">
              <w:rPr>
                <w:sz w:val="19"/>
                <w:szCs w:val="19"/>
              </w:rPr>
              <w:t xml:space="preserve">Capacity exists to increase volumes of recycling collected and processed. </w:t>
            </w:r>
          </w:p>
          <w:p w14:paraId="4C4AFB2B" w14:textId="3EF1498B" w:rsidR="00273E87" w:rsidRPr="00A5561D" w:rsidRDefault="00792B6C" w:rsidP="00A5561D">
            <w:pPr>
              <w:spacing w:after="200" w:line="216" w:lineRule="auto"/>
              <w:jc w:val="left"/>
              <w:cnfStyle w:val="000000000000" w:firstRow="0" w:lastRow="0" w:firstColumn="0" w:lastColumn="0" w:oddVBand="0" w:evenVBand="0" w:oddHBand="0" w:evenHBand="0" w:firstRowFirstColumn="0" w:firstRowLastColumn="0" w:lastRowFirstColumn="0" w:lastRowLastColumn="0"/>
              <w:rPr>
                <w:b/>
                <w:bCs/>
                <w:sz w:val="19"/>
                <w:szCs w:val="19"/>
              </w:rPr>
            </w:pPr>
            <w:r w:rsidRPr="00A5561D">
              <w:rPr>
                <w:sz w:val="19"/>
                <w:szCs w:val="19"/>
              </w:rPr>
              <w:t xml:space="preserve">MRF </w:t>
            </w:r>
            <w:r w:rsidR="0013647A" w:rsidRPr="00A5561D">
              <w:rPr>
                <w:sz w:val="19"/>
                <w:szCs w:val="19"/>
              </w:rPr>
              <w:t>u</w:t>
            </w:r>
            <w:r w:rsidRPr="00A5561D">
              <w:rPr>
                <w:sz w:val="19"/>
                <w:szCs w:val="19"/>
              </w:rPr>
              <w:t xml:space="preserve">pgrades are underway which will allow for </w:t>
            </w:r>
            <w:r w:rsidR="001A7A8C" w:rsidRPr="00A5561D">
              <w:rPr>
                <w:sz w:val="19"/>
                <w:szCs w:val="19"/>
              </w:rPr>
              <w:t>increased processing of residential and commercial recyclables.</w:t>
            </w:r>
            <w:r w:rsidR="004E54D8" w:rsidRPr="00A5561D">
              <w:rPr>
                <w:sz w:val="19"/>
                <w:szCs w:val="19"/>
              </w:rPr>
              <w:t xml:space="preserve"> Automat</w:t>
            </w:r>
            <w:r w:rsidR="00AC3344" w:rsidRPr="00A5561D">
              <w:rPr>
                <w:sz w:val="19"/>
                <w:szCs w:val="19"/>
              </w:rPr>
              <w:t xml:space="preserve">ed Material Handling in Berlin is in the process of being upgraded from a </w:t>
            </w:r>
            <w:r w:rsidR="00B831C3" w:rsidRPr="00A5561D">
              <w:rPr>
                <w:sz w:val="19"/>
                <w:szCs w:val="19"/>
              </w:rPr>
              <w:t>60k tpy</w:t>
            </w:r>
            <w:r w:rsidR="00CE69BC" w:rsidRPr="00A5561D">
              <w:rPr>
                <w:sz w:val="19"/>
                <w:szCs w:val="19"/>
              </w:rPr>
              <w:t xml:space="preserve"> to a 225k tpy MRF. The facility accepts residential and commercial single stream recycling. There is some interest in using the</w:t>
            </w:r>
            <w:r w:rsidR="00D06ABF" w:rsidRPr="00A5561D">
              <w:rPr>
                <w:sz w:val="19"/>
                <w:szCs w:val="19"/>
              </w:rPr>
              <w:t xml:space="preserve"> closed MIRA MRF i</w:t>
            </w:r>
            <w:r w:rsidR="00273E87" w:rsidRPr="00A5561D">
              <w:rPr>
                <w:sz w:val="19"/>
                <w:szCs w:val="19"/>
              </w:rPr>
              <w:t>n Hartford to transfer recyclables to Berlin.</w:t>
            </w:r>
          </w:p>
          <w:p w14:paraId="3D03BED7" w14:textId="786C4342" w:rsidR="00EB0AC9" w:rsidRPr="00A5561D" w:rsidRDefault="00273E87" w:rsidP="00A5561D">
            <w:pPr>
              <w:spacing w:after="200" w:line="216" w:lineRule="auto"/>
              <w:jc w:val="left"/>
              <w:cnfStyle w:val="000000000000" w:firstRow="0" w:lastRow="0" w:firstColumn="0" w:lastColumn="0" w:oddVBand="0" w:evenVBand="0" w:oddHBand="0" w:evenHBand="0" w:firstRowFirstColumn="0" w:firstRowLastColumn="0" w:lastRowFirstColumn="0" w:lastRowLastColumn="0"/>
              <w:rPr>
                <w:b/>
                <w:bCs/>
                <w:sz w:val="19"/>
                <w:szCs w:val="19"/>
              </w:rPr>
            </w:pPr>
            <w:r w:rsidRPr="00A5561D">
              <w:rPr>
                <w:sz w:val="19"/>
                <w:szCs w:val="19"/>
              </w:rPr>
              <w:t xml:space="preserve">Casella’s MRF in </w:t>
            </w:r>
            <w:r w:rsidR="00B85616" w:rsidRPr="00A5561D">
              <w:rPr>
                <w:sz w:val="19"/>
                <w:szCs w:val="19"/>
              </w:rPr>
              <w:t>Willi</w:t>
            </w:r>
            <w:r w:rsidR="00F43F09" w:rsidRPr="00A5561D">
              <w:rPr>
                <w:sz w:val="19"/>
                <w:szCs w:val="19"/>
              </w:rPr>
              <w:t>mantic</w:t>
            </w:r>
            <w:r w:rsidR="00B85616" w:rsidRPr="00A5561D">
              <w:rPr>
                <w:sz w:val="19"/>
                <w:szCs w:val="19"/>
              </w:rPr>
              <w:t xml:space="preserve"> </w:t>
            </w:r>
            <w:r w:rsidR="003E285E" w:rsidRPr="00A5561D">
              <w:rPr>
                <w:sz w:val="19"/>
                <w:szCs w:val="19"/>
              </w:rPr>
              <w:t>has capacity to process approximately 100k tpy</w:t>
            </w:r>
            <w:r w:rsidR="00450F99" w:rsidRPr="00A5561D">
              <w:rPr>
                <w:sz w:val="19"/>
                <w:szCs w:val="19"/>
              </w:rPr>
              <w:t xml:space="preserve"> and currently is estimated to have approximately 10k tpy</w:t>
            </w:r>
            <w:r w:rsidR="002852B7" w:rsidRPr="00A5561D">
              <w:rPr>
                <w:sz w:val="19"/>
                <w:szCs w:val="19"/>
              </w:rPr>
              <w:t xml:space="preserve"> in excess capacity. An upgrade is scheduled to be completed </w:t>
            </w:r>
            <w:r w:rsidR="00EB0AC9" w:rsidRPr="00A5561D">
              <w:rPr>
                <w:sz w:val="19"/>
                <w:szCs w:val="19"/>
              </w:rPr>
              <w:t xml:space="preserve">in 2024 </w:t>
            </w:r>
            <w:r w:rsidR="002852B7" w:rsidRPr="00A5561D">
              <w:rPr>
                <w:sz w:val="19"/>
                <w:szCs w:val="19"/>
              </w:rPr>
              <w:t>along with increasing from one to two shifts</w:t>
            </w:r>
            <w:r w:rsidR="00EB0AC9" w:rsidRPr="00A5561D">
              <w:rPr>
                <w:sz w:val="19"/>
                <w:szCs w:val="19"/>
              </w:rPr>
              <w:t xml:space="preserve"> which will double the number of tons the MRF can process</w:t>
            </w:r>
            <w:r w:rsidR="002852B7" w:rsidRPr="00A5561D">
              <w:rPr>
                <w:sz w:val="19"/>
                <w:szCs w:val="19"/>
              </w:rPr>
              <w:t>.</w:t>
            </w:r>
            <w:r w:rsidR="00C5542D" w:rsidRPr="00A5561D">
              <w:rPr>
                <w:sz w:val="19"/>
                <w:szCs w:val="19"/>
              </w:rPr>
              <w:t xml:space="preserve"> The MRF accepts residential and commercial material</w:t>
            </w:r>
          </w:p>
          <w:p w14:paraId="66927083" w14:textId="5E7E94C3" w:rsidR="00F713EC" w:rsidRPr="00A5561D" w:rsidRDefault="00452D47" w:rsidP="00A5561D">
            <w:pPr>
              <w:spacing w:after="200" w:line="216"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All Waste Hartford</w:t>
            </w:r>
            <w:r w:rsidR="00BD2755" w:rsidRPr="00A5561D">
              <w:rPr>
                <w:sz w:val="19"/>
                <w:szCs w:val="19"/>
              </w:rPr>
              <w:t xml:space="preserve"> in Hartford CT is a commercial MRF that accepts appro</w:t>
            </w:r>
            <w:r w:rsidR="00C5542D" w:rsidRPr="00A5561D">
              <w:rPr>
                <w:sz w:val="19"/>
                <w:szCs w:val="19"/>
              </w:rPr>
              <w:t>ximately 55,000 tons per year</w:t>
            </w:r>
            <w:r w:rsidR="00171C1C" w:rsidRPr="00A5561D">
              <w:rPr>
                <w:sz w:val="19"/>
                <w:szCs w:val="19"/>
              </w:rPr>
              <w:t xml:space="preserve">. </w:t>
            </w:r>
          </w:p>
          <w:p w14:paraId="04878AB7" w14:textId="2E79546D" w:rsidR="00F713EC" w:rsidRPr="00A5561D" w:rsidRDefault="00F713EC" w:rsidP="00A5561D">
            <w:pPr>
              <w:spacing w:after="200" w:line="216" w:lineRule="auto"/>
              <w:jc w:val="left"/>
              <w:cnfStyle w:val="000000000000" w:firstRow="0" w:lastRow="0" w:firstColumn="0" w:lastColumn="0" w:oddVBand="0" w:evenVBand="0" w:oddHBand="0" w:evenHBand="0" w:firstRowFirstColumn="0" w:firstRowLastColumn="0" w:lastRowFirstColumn="0" w:lastRowLastColumn="0"/>
              <w:rPr>
                <w:b/>
                <w:bCs/>
                <w:sz w:val="19"/>
                <w:szCs w:val="19"/>
              </w:rPr>
            </w:pPr>
            <w:r w:rsidRPr="00A5561D">
              <w:rPr>
                <w:sz w:val="19"/>
                <w:szCs w:val="19"/>
              </w:rPr>
              <w:t>Nature of upgrades and whether they can support the expansion of items accepted for recycling is not yet known. Planned upgrades provide opportunity for dialog regarding expanding the list of accepted recyclables.</w:t>
            </w:r>
          </w:p>
        </w:tc>
      </w:tr>
    </w:tbl>
    <w:p w14:paraId="3B72EE2C" w14:textId="14EFA580" w:rsidR="00996EB3" w:rsidRDefault="00996EB3" w:rsidP="00530CF3">
      <w:pPr>
        <w:rPr>
          <w:rFonts w:ascii="Georgia" w:eastAsiaTheme="majorEastAsia" w:hAnsi="Georgia" w:cstheme="majorBidi"/>
          <w:color w:val="D86D21" w:themeColor="accent2"/>
          <w:sz w:val="34"/>
          <w:szCs w:val="34"/>
        </w:rPr>
      </w:pPr>
      <w:bookmarkStart w:id="75" w:name="_Toc40453268"/>
    </w:p>
    <w:p w14:paraId="218561E4" w14:textId="1A41B9C0" w:rsidR="006C3D5A" w:rsidRDefault="006C3D5A" w:rsidP="006845CF">
      <w:pPr>
        <w:pStyle w:val="Subtitle"/>
      </w:pPr>
      <w:bookmarkStart w:id="76" w:name="_Toc117000332"/>
      <w:bookmarkStart w:id="77" w:name="_Toc117001055"/>
      <w:r>
        <w:t>End</w:t>
      </w:r>
      <w:r w:rsidR="00441616">
        <w:t>-</w:t>
      </w:r>
      <w:r>
        <w:t>Markets</w:t>
      </w:r>
      <w:bookmarkEnd w:id="75"/>
      <w:bookmarkEnd w:id="76"/>
      <w:bookmarkEnd w:id="77"/>
      <w:r>
        <w:t xml:space="preserve"> </w:t>
      </w:r>
    </w:p>
    <w:p w14:paraId="15092ECA" w14:textId="4F2F348C" w:rsidR="006C3D5A" w:rsidRDefault="006C3D5A" w:rsidP="00530CF3">
      <w:r>
        <w:t>The end</w:t>
      </w:r>
      <w:r w:rsidR="00441616">
        <w:t>-</w:t>
      </w:r>
      <w:r>
        <w:t>market is the manufacturing industry who recycles the commodity into a new product. The success of end</w:t>
      </w:r>
      <w:r w:rsidR="00EB2850">
        <w:t>-</w:t>
      </w:r>
      <w:r>
        <w:t>markets for the recycling that is collected leads to the success of a sustainable circular economy that can ultimately allow material to be diverted from landfills. The following section reviews the local and regional markets for recyclables.</w:t>
      </w:r>
    </w:p>
    <w:p w14:paraId="77D91EAF" w14:textId="1CB958A0" w:rsidR="006C3D5A" w:rsidRDefault="006C3D5A" w:rsidP="00530CF3"/>
    <w:p w14:paraId="77644E6E" w14:textId="60FFD013" w:rsidR="00397558" w:rsidRDefault="00397558" w:rsidP="00530CF3">
      <w:pPr>
        <w:pStyle w:val="Caption"/>
      </w:pPr>
      <w:bookmarkStart w:id="78" w:name="_Toc116992208"/>
      <w:r>
        <w:t xml:space="preserve">Table </w:t>
      </w:r>
      <w:r>
        <w:fldChar w:fldCharType="begin"/>
      </w:r>
      <w:r>
        <w:instrText>SEQ Table \* ARABIC</w:instrText>
      </w:r>
      <w:r>
        <w:fldChar w:fldCharType="separate"/>
      </w:r>
      <w:r w:rsidR="00CC33D6">
        <w:rPr>
          <w:noProof/>
        </w:rPr>
        <w:t>3</w:t>
      </w:r>
      <w:r>
        <w:fldChar w:fldCharType="end"/>
      </w:r>
      <w:r>
        <w:t xml:space="preserve">. </w:t>
      </w:r>
      <w:r w:rsidRPr="008976EF">
        <w:t>End</w:t>
      </w:r>
      <w:r w:rsidR="00441616">
        <w:t>-</w:t>
      </w:r>
      <w:r w:rsidRPr="008976EF">
        <w:t>Markets Evaluation</w:t>
      </w:r>
      <w:bookmarkEnd w:id="78"/>
    </w:p>
    <w:tbl>
      <w:tblPr>
        <w:tblStyle w:val="TableStyle1"/>
        <w:tblpPr w:leftFromText="180" w:rightFromText="180" w:vertAnchor="text" w:horzAnchor="margin" w:tblpY="125"/>
        <w:tblW w:w="10092" w:type="dxa"/>
        <w:tblCellMar>
          <w:top w:w="115" w:type="dxa"/>
          <w:left w:w="108" w:type="dxa"/>
          <w:bottom w:w="115" w:type="dxa"/>
          <w:right w:w="108" w:type="dxa"/>
        </w:tblCellMar>
        <w:tblLook w:val="06A0" w:firstRow="1" w:lastRow="0" w:firstColumn="1" w:lastColumn="0" w:noHBand="1" w:noVBand="1"/>
      </w:tblPr>
      <w:tblGrid>
        <w:gridCol w:w="1026"/>
        <w:gridCol w:w="1858"/>
        <w:gridCol w:w="7208"/>
      </w:tblGrid>
      <w:tr w:rsidR="00A5561D" w:rsidRPr="00A5561D" w14:paraId="787F3B05" w14:textId="77777777" w:rsidTr="00A5561D">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20" w:type="dxa"/>
            <w:shd w:val="clear" w:color="auto" w:fill="1D666E" w:themeFill="accent1"/>
          </w:tcPr>
          <w:p w14:paraId="5F7B28D7" w14:textId="220665BE" w:rsidR="002B2BF8" w:rsidRPr="00A5561D" w:rsidRDefault="002B2BF8" w:rsidP="00A5561D">
            <w:pPr>
              <w:pStyle w:val="ListParagraph"/>
              <w:ind w:left="55"/>
              <w:jc w:val="center"/>
              <w:rPr>
                <w:rFonts w:ascii="Calibri" w:hAnsi="Calibri"/>
                <w:color w:val="FFFFFF" w:themeColor="background1"/>
                <w:sz w:val="19"/>
                <w:szCs w:val="19"/>
              </w:rPr>
            </w:pPr>
            <w:r w:rsidRPr="00A5561D">
              <w:rPr>
                <w:color w:val="FFFFFF" w:themeColor="background1"/>
                <w:sz w:val="19"/>
                <w:szCs w:val="19"/>
              </w:rPr>
              <w:t>Uptake</w:t>
            </w:r>
          </w:p>
        </w:tc>
        <w:tc>
          <w:tcPr>
            <w:tcW w:w="1865" w:type="dxa"/>
            <w:shd w:val="clear" w:color="auto" w:fill="1D666E" w:themeFill="accent1"/>
          </w:tcPr>
          <w:p w14:paraId="12DAB752" w14:textId="644C79F7" w:rsidR="002B2BF8" w:rsidRPr="00A5561D" w:rsidRDefault="002B2BF8" w:rsidP="00A5561D">
            <w:pPr>
              <w:jc w:val="left"/>
              <w:cnfStyle w:val="100000000000" w:firstRow="1" w:lastRow="0" w:firstColumn="0" w:lastColumn="0" w:oddVBand="0" w:evenVBand="0" w:oddHBand="0" w:evenHBand="0" w:firstRowFirstColumn="0" w:firstRowLastColumn="0" w:lastRowFirstColumn="0" w:lastRowLastColumn="0"/>
              <w:rPr>
                <w:b w:val="0"/>
                <w:color w:val="FFFFFF" w:themeColor="background1"/>
                <w:sz w:val="19"/>
                <w:szCs w:val="19"/>
              </w:rPr>
            </w:pPr>
            <w:r w:rsidRPr="00A5561D">
              <w:rPr>
                <w:color w:val="FFFFFF" w:themeColor="background1"/>
                <w:sz w:val="19"/>
                <w:szCs w:val="19"/>
              </w:rPr>
              <w:t>Category</w:t>
            </w:r>
          </w:p>
        </w:tc>
        <w:tc>
          <w:tcPr>
            <w:tcW w:w="7307" w:type="dxa"/>
            <w:shd w:val="clear" w:color="auto" w:fill="1D666E" w:themeFill="accent1"/>
          </w:tcPr>
          <w:p w14:paraId="6BB777E3" w14:textId="63E8E91C" w:rsidR="002B2BF8" w:rsidRPr="00A5561D" w:rsidRDefault="002B2BF8" w:rsidP="00A5561D">
            <w:pPr>
              <w:jc w:val="left"/>
              <w:cnfStyle w:val="100000000000" w:firstRow="1" w:lastRow="0" w:firstColumn="0" w:lastColumn="0" w:oddVBand="0" w:evenVBand="0" w:oddHBand="0" w:evenHBand="0" w:firstRowFirstColumn="0" w:firstRowLastColumn="0" w:lastRowFirstColumn="0" w:lastRowLastColumn="0"/>
              <w:rPr>
                <w:b w:val="0"/>
                <w:color w:val="FFFFFF" w:themeColor="background1"/>
                <w:sz w:val="19"/>
                <w:szCs w:val="19"/>
              </w:rPr>
            </w:pPr>
            <w:r w:rsidRPr="00A5561D">
              <w:rPr>
                <w:color w:val="FFFFFF" w:themeColor="background1"/>
                <w:sz w:val="19"/>
                <w:szCs w:val="19"/>
              </w:rPr>
              <w:t>Findings</w:t>
            </w:r>
          </w:p>
        </w:tc>
      </w:tr>
      <w:tr w:rsidR="006C3D5A" w14:paraId="4AE1DC94" w14:textId="77777777" w:rsidTr="00A5561D">
        <w:trPr>
          <w:trHeight w:val="419"/>
        </w:trPr>
        <w:tc>
          <w:tcPr>
            <w:cnfStyle w:val="001000000000" w:firstRow="0" w:lastRow="0" w:firstColumn="1" w:lastColumn="0" w:oddVBand="0" w:evenVBand="0" w:oddHBand="0" w:evenHBand="0" w:firstRowFirstColumn="0" w:firstRowLastColumn="0" w:lastRowFirstColumn="0" w:lastRowLastColumn="0"/>
            <w:tcW w:w="920" w:type="dxa"/>
          </w:tcPr>
          <w:p w14:paraId="104E6DB0" w14:textId="68B7DEEB" w:rsidR="006C3D5A" w:rsidRPr="00A5561D" w:rsidRDefault="004C787A" w:rsidP="00A5561D">
            <w:pPr>
              <w:pStyle w:val="ListParagraph"/>
              <w:ind w:left="55"/>
              <w:jc w:val="center"/>
              <w:rPr>
                <w:rFonts w:ascii="HARVEY BALLS" w:hAnsi="HARVEY BALLS" w:hint="eastAsia"/>
                <w:sz w:val="19"/>
                <w:szCs w:val="19"/>
              </w:rPr>
            </w:pPr>
            <w:r w:rsidRPr="00A5561D">
              <w:rPr>
                <w:rFonts w:ascii="Segoe UI Symbol" w:hAnsi="Segoe UI Symbol" w:cs="Segoe UI Symbol"/>
                <w:noProof/>
                <w:sz w:val="19"/>
                <w:szCs w:val="19"/>
              </w:rPr>
              <w:t>◕</w:t>
            </w:r>
          </w:p>
        </w:tc>
        <w:tc>
          <w:tcPr>
            <w:tcW w:w="1865" w:type="dxa"/>
          </w:tcPr>
          <w:p w14:paraId="68ED7453" w14:textId="77777777" w:rsidR="007024C4" w:rsidRDefault="002F6445" w:rsidP="00A5561D">
            <w:pPr>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R</w:t>
            </w:r>
            <w:r w:rsidR="000143F1" w:rsidRPr="00A5561D">
              <w:rPr>
                <w:sz w:val="19"/>
                <w:szCs w:val="19"/>
              </w:rPr>
              <w:t>ecycling</w:t>
            </w:r>
            <w:r w:rsidRPr="00A5561D">
              <w:rPr>
                <w:sz w:val="19"/>
                <w:szCs w:val="19"/>
              </w:rPr>
              <w:t xml:space="preserve"> </w:t>
            </w:r>
          </w:p>
          <w:p w14:paraId="2BD2C0A5" w14:textId="68BB400E" w:rsidR="006C3D5A" w:rsidRPr="00A5561D" w:rsidRDefault="002F6445" w:rsidP="00A5561D">
            <w:pPr>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End</w:t>
            </w:r>
            <w:r w:rsidR="007024C4">
              <w:rPr>
                <w:sz w:val="19"/>
                <w:szCs w:val="19"/>
              </w:rPr>
              <w:t>-</w:t>
            </w:r>
            <w:r w:rsidRPr="00A5561D">
              <w:rPr>
                <w:sz w:val="19"/>
                <w:szCs w:val="19"/>
              </w:rPr>
              <w:t>Markets</w:t>
            </w:r>
          </w:p>
        </w:tc>
        <w:tc>
          <w:tcPr>
            <w:tcW w:w="7307" w:type="dxa"/>
          </w:tcPr>
          <w:p w14:paraId="4F354D43" w14:textId="594C2799" w:rsidR="006C3D5A" w:rsidRPr="00A5561D" w:rsidRDefault="00F044C8" w:rsidP="00A5561D">
            <w:pPr>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End</w:t>
            </w:r>
            <w:r w:rsidR="007024C4">
              <w:rPr>
                <w:sz w:val="19"/>
                <w:szCs w:val="19"/>
              </w:rPr>
              <w:t>-</w:t>
            </w:r>
            <w:r w:rsidRPr="00A5561D">
              <w:rPr>
                <w:sz w:val="19"/>
                <w:szCs w:val="19"/>
              </w:rPr>
              <w:t xml:space="preserve">markets and/or secondary processors exist in the state for </w:t>
            </w:r>
            <w:r w:rsidR="006F7C20" w:rsidRPr="00A5561D">
              <w:rPr>
                <w:sz w:val="19"/>
                <w:szCs w:val="19"/>
              </w:rPr>
              <w:t xml:space="preserve">Old Corrugated Cardboard, mixed paper, </w:t>
            </w:r>
            <w:r w:rsidRPr="00A5561D">
              <w:rPr>
                <w:sz w:val="19"/>
                <w:szCs w:val="19"/>
              </w:rPr>
              <w:t>paper</w:t>
            </w:r>
            <w:r w:rsidR="0051556B" w:rsidRPr="00A5561D">
              <w:rPr>
                <w:sz w:val="19"/>
                <w:szCs w:val="19"/>
              </w:rPr>
              <w:t xml:space="preserve">, </w:t>
            </w:r>
            <w:r w:rsidR="00940E72" w:rsidRPr="00A5561D">
              <w:rPr>
                <w:sz w:val="19"/>
                <w:szCs w:val="19"/>
              </w:rPr>
              <w:t xml:space="preserve">industrial </w:t>
            </w:r>
            <w:r w:rsidR="0051556B" w:rsidRPr="00A5561D">
              <w:rPr>
                <w:sz w:val="19"/>
                <w:szCs w:val="19"/>
              </w:rPr>
              <w:t>plastic</w:t>
            </w:r>
            <w:r w:rsidR="00940E72" w:rsidRPr="00A5561D">
              <w:rPr>
                <w:sz w:val="19"/>
                <w:szCs w:val="19"/>
              </w:rPr>
              <w:t>s</w:t>
            </w:r>
            <w:r w:rsidR="0051556B" w:rsidRPr="00A5561D">
              <w:rPr>
                <w:sz w:val="19"/>
                <w:szCs w:val="19"/>
              </w:rPr>
              <w:t xml:space="preserve">, and </w:t>
            </w:r>
            <w:r w:rsidR="006E4888" w:rsidRPr="00A5561D">
              <w:rPr>
                <w:sz w:val="19"/>
                <w:szCs w:val="19"/>
              </w:rPr>
              <w:t>glass containers collected through the deposit program.</w:t>
            </w:r>
            <w:r w:rsidR="0051556B" w:rsidRPr="00A5561D">
              <w:rPr>
                <w:sz w:val="19"/>
                <w:szCs w:val="19"/>
              </w:rPr>
              <w:t xml:space="preserve"> </w:t>
            </w:r>
            <w:r w:rsidR="00AA7C49" w:rsidRPr="00A5561D">
              <w:rPr>
                <w:sz w:val="19"/>
                <w:szCs w:val="19"/>
              </w:rPr>
              <w:t xml:space="preserve">Metals, paper glass, </w:t>
            </w:r>
            <w:r w:rsidR="00DA014C" w:rsidRPr="00A5561D">
              <w:rPr>
                <w:sz w:val="19"/>
                <w:szCs w:val="19"/>
              </w:rPr>
              <w:t xml:space="preserve">cartons, </w:t>
            </w:r>
            <w:r w:rsidR="00AA7C49" w:rsidRPr="00A5561D">
              <w:rPr>
                <w:sz w:val="19"/>
                <w:szCs w:val="19"/>
              </w:rPr>
              <w:t>and post-consumer plastics secondary sorting</w:t>
            </w:r>
            <w:r w:rsidR="00B044C7" w:rsidRPr="00A5561D">
              <w:rPr>
                <w:sz w:val="19"/>
                <w:szCs w:val="19"/>
              </w:rPr>
              <w:t xml:space="preserve"> and/or end</w:t>
            </w:r>
            <w:r w:rsidR="007024C4">
              <w:rPr>
                <w:sz w:val="19"/>
                <w:szCs w:val="19"/>
              </w:rPr>
              <w:t>-</w:t>
            </w:r>
            <w:r w:rsidR="00B044C7" w:rsidRPr="00A5561D">
              <w:rPr>
                <w:sz w:val="19"/>
                <w:szCs w:val="19"/>
              </w:rPr>
              <w:t xml:space="preserve"> markets are available in the region. A local p</w:t>
            </w:r>
            <w:r w:rsidR="00920521" w:rsidRPr="00A5561D">
              <w:rPr>
                <w:sz w:val="19"/>
                <w:szCs w:val="19"/>
              </w:rPr>
              <w:t xml:space="preserve">rocessor, called a beneficiation facility for MRF glass is not locally available. </w:t>
            </w:r>
            <w:r w:rsidR="0051556B" w:rsidRPr="00A5561D">
              <w:rPr>
                <w:sz w:val="19"/>
                <w:szCs w:val="19"/>
              </w:rPr>
              <w:t xml:space="preserve">MRF glass </w:t>
            </w:r>
            <w:r w:rsidR="009816F3" w:rsidRPr="00A5561D">
              <w:rPr>
                <w:sz w:val="19"/>
                <w:szCs w:val="19"/>
              </w:rPr>
              <w:t xml:space="preserve">from the Willimantic MRF </w:t>
            </w:r>
            <w:r w:rsidR="0051556B" w:rsidRPr="00A5561D">
              <w:rPr>
                <w:sz w:val="19"/>
                <w:szCs w:val="19"/>
              </w:rPr>
              <w:t xml:space="preserve">currently </w:t>
            </w:r>
            <w:r w:rsidR="009816F3" w:rsidRPr="00A5561D">
              <w:rPr>
                <w:sz w:val="19"/>
                <w:szCs w:val="19"/>
              </w:rPr>
              <w:t>is railed</w:t>
            </w:r>
            <w:r w:rsidR="00334B5E" w:rsidRPr="00A5561D">
              <w:rPr>
                <w:sz w:val="19"/>
                <w:szCs w:val="19"/>
              </w:rPr>
              <w:t xml:space="preserve"> out of state to be</w:t>
            </w:r>
            <w:r w:rsidR="0051556B" w:rsidRPr="00A5561D">
              <w:rPr>
                <w:sz w:val="19"/>
                <w:szCs w:val="19"/>
              </w:rPr>
              <w:t xml:space="preserve"> </w:t>
            </w:r>
            <w:r w:rsidR="00D7304F" w:rsidRPr="00A5561D">
              <w:rPr>
                <w:sz w:val="19"/>
                <w:szCs w:val="19"/>
              </w:rPr>
              <w:t>cleaned and sorted to be manufactured into new containers</w:t>
            </w:r>
            <w:r w:rsidR="00171C1C" w:rsidRPr="00A5561D">
              <w:rPr>
                <w:sz w:val="19"/>
                <w:szCs w:val="19"/>
              </w:rPr>
              <w:t xml:space="preserve">. </w:t>
            </w:r>
            <w:r w:rsidR="00470506" w:rsidRPr="00A5561D">
              <w:rPr>
                <w:sz w:val="19"/>
                <w:szCs w:val="19"/>
              </w:rPr>
              <w:t>Outlets for glass used by other MRFS is unknown.</w:t>
            </w:r>
          </w:p>
        </w:tc>
      </w:tr>
      <w:tr w:rsidR="00FF5058" w14:paraId="40BB8CF7" w14:textId="77777777" w:rsidTr="00A5561D">
        <w:trPr>
          <w:trHeight w:val="419"/>
        </w:trPr>
        <w:tc>
          <w:tcPr>
            <w:cnfStyle w:val="001000000000" w:firstRow="0" w:lastRow="0" w:firstColumn="1" w:lastColumn="0" w:oddVBand="0" w:evenVBand="0" w:oddHBand="0" w:evenHBand="0" w:firstRowFirstColumn="0" w:firstRowLastColumn="0" w:lastRowFirstColumn="0" w:lastRowLastColumn="0"/>
            <w:tcW w:w="920" w:type="dxa"/>
          </w:tcPr>
          <w:p w14:paraId="1CCED69D" w14:textId="37318C1A" w:rsidR="00FF5058" w:rsidRPr="00A5561D" w:rsidRDefault="00AC794D" w:rsidP="00A5561D">
            <w:pPr>
              <w:pStyle w:val="ListParagraph"/>
              <w:ind w:left="55"/>
              <w:jc w:val="center"/>
              <w:rPr>
                <w:noProof/>
                <w:sz w:val="19"/>
                <w:szCs w:val="19"/>
              </w:rPr>
            </w:pPr>
            <w:r w:rsidRPr="00AC794D">
              <w:rPr>
                <w:rFonts w:ascii="Segoe UI Symbol" w:eastAsia="Segoe UI Symbol" w:hAnsi="Segoe UI Symbol"/>
                <w:sz w:val="16"/>
                <w:szCs w:val="15"/>
                <w:lang w:eastAsia="ja-JP"/>
              </w:rPr>
              <w:t>◯</w:t>
            </w:r>
          </w:p>
        </w:tc>
        <w:tc>
          <w:tcPr>
            <w:tcW w:w="1865" w:type="dxa"/>
          </w:tcPr>
          <w:p w14:paraId="460C16B6" w14:textId="63BADE25" w:rsidR="00FF5058" w:rsidRPr="00A5561D" w:rsidRDefault="00FF5058" w:rsidP="00A5561D">
            <w:pPr>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End</w:t>
            </w:r>
            <w:r w:rsidR="007024C4">
              <w:rPr>
                <w:sz w:val="19"/>
                <w:szCs w:val="19"/>
              </w:rPr>
              <w:t>-</w:t>
            </w:r>
            <w:r w:rsidRPr="00A5561D">
              <w:rPr>
                <w:sz w:val="19"/>
                <w:szCs w:val="19"/>
              </w:rPr>
              <w:t>Market Dev</w:t>
            </w:r>
            <w:r w:rsidR="007024C4">
              <w:rPr>
                <w:sz w:val="19"/>
                <w:szCs w:val="19"/>
              </w:rPr>
              <w:t>elopment</w:t>
            </w:r>
          </w:p>
        </w:tc>
        <w:tc>
          <w:tcPr>
            <w:tcW w:w="7307" w:type="dxa"/>
          </w:tcPr>
          <w:p w14:paraId="58D00E25" w14:textId="3580B6B1" w:rsidR="00FF5058" w:rsidRPr="00A5561D" w:rsidRDefault="00AD7301" w:rsidP="00A5561D">
            <w:pPr>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No activities identified to grow local end</w:t>
            </w:r>
            <w:r w:rsidR="007024C4">
              <w:rPr>
                <w:sz w:val="19"/>
                <w:szCs w:val="19"/>
              </w:rPr>
              <w:t>-</w:t>
            </w:r>
            <w:r w:rsidRPr="00A5561D">
              <w:rPr>
                <w:sz w:val="19"/>
                <w:szCs w:val="19"/>
              </w:rPr>
              <w:t>markets</w:t>
            </w:r>
            <w:r w:rsidR="00171C1C" w:rsidRPr="00A5561D">
              <w:rPr>
                <w:sz w:val="19"/>
                <w:szCs w:val="19"/>
              </w:rPr>
              <w:t xml:space="preserve">. </w:t>
            </w:r>
            <w:r w:rsidR="00426848" w:rsidRPr="00A5561D">
              <w:rPr>
                <w:sz w:val="19"/>
                <w:szCs w:val="19"/>
              </w:rPr>
              <w:t>Though there are some statewide resources and regional loan programs for small businesses, there is not an economic development program dedicated exclusively to developing end</w:t>
            </w:r>
            <w:r w:rsidR="00EE3E44">
              <w:rPr>
                <w:sz w:val="19"/>
                <w:szCs w:val="19"/>
              </w:rPr>
              <w:t>-</w:t>
            </w:r>
            <w:r w:rsidR="00426848" w:rsidRPr="00A5561D">
              <w:rPr>
                <w:sz w:val="19"/>
                <w:szCs w:val="19"/>
              </w:rPr>
              <w:t>markets in the state. An incubator or accelerator program, such as NextCycle – which currently helps grows end</w:t>
            </w:r>
            <w:r w:rsidR="00EE3E44">
              <w:rPr>
                <w:sz w:val="19"/>
                <w:szCs w:val="19"/>
              </w:rPr>
              <w:t>-</w:t>
            </w:r>
            <w:r w:rsidR="00426848" w:rsidRPr="00A5561D">
              <w:rPr>
                <w:sz w:val="19"/>
                <w:szCs w:val="19"/>
              </w:rPr>
              <w:t xml:space="preserve">markets in Michigan, </w:t>
            </w:r>
            <w:r w:rsidR="003B4C38" w:rsidRPr="00A5561D">
              <w:rPr>
                <w:sz w:val="19"/>
                <w:szCs w:val="19"/>
              </w:rPr>
              <w:t>Washington,</w:t>
            </w:r>
            <w:r w:rsidR="00426848" w:rsidRPr="00A5561D">
              <w:rPr>
                <w:sz w:val="19"/>
                <w:szCs w:val="19"/>
              </w:rPr>
              <w:t xml:space="preserve"> and Colorado – could benefit the Connecticut economy and build capacity for recyclable material.</w:t>
            </w:r>
          </w:p>
        </w:tc>
      </w:tr>
      <w:tr w:rsidR="001B1407" w14:paraId="398DF717" w14:textId="77777777" w:rsidTr="00A5561D">
        <w:trPr>
          <w:trHeight w:val="419"/>
        </w:trPr>
        <w:tc>
          <w:tcPr>
            <w:cnfStyle w:val="001000000000" w:firstRow="0" w:lastRow="0" w:firstColumn="1" w:lastColumn="0" w:oddVBand="0" w:evenVBand="0" w:oddHBand="0" w:evenHBand="0" w:firstRowFirstColumn="0" w:firstRowLastColumn="0" w:lastRowFirstColumn="0" w:lastRowLastColumn="0"/>
            <w:tcW w:w="920" w:type="dxa"/>
          </w:tcPr>
          <w:p w14:paraId="7306EDCB" w14:textId="5388DC35" w:rsidR="001B1407" w:rsidRPr="00A5561D" w:rsidRDefault="002655BD" w:rsidP="00A5561D">
            <w:pPr>
              <w:pStyle w:val="ListParagraph"/>
              <w:ind w:left="55"/>
              <w:jc w:val="center"/>
              <w:rPr>
                <w:noProof/>
                <w:sz w:val="19"/>
                <w:szCs w:val="19"/>
              </w:rPr>
            </w:pPr>
            <w:r w:rsidRPr="00A5561D">
              <w:rPr>
                <w:rFonts w:ascii="Segoe UI Symbol" w:hAnsi="Segoe UI Symbol" w:cs="Segoe UI Symbol"/>
                <w:sz w:val="19"/>
                <w:szCs w:val="19"/>
              </w:rPr>
              <w:t>◑</w:t>
            </w:r>
          </w:p>
        </w:tc>
        <w:tc>
          <w:tcPr>
            <w:tcW w:w="1865" w:type="dxa"/>
          </w:tcPr>
          <w:p w14:paraId="6BDD7DAE" w14:textId="66470F9E" w:rsidR="001B1407" w:rsidRPr="00A5561D" w:rsidRDefault="001B1407" w:rsidP="00A5561D">
            <w:pPr>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Composting</w:t>
            </w:r>
            <w:r w:rsidR="002F6445" w:rsidRPr="00A5561D">
              <w:rPr>
                <w:sz w:val="19"/>
                <w:szCs w:val="19"/>
              </w:rPr>
              <w:t xml:space="preserve"> </w:t>
            </w:r>
            <w:r w:rsidR="007024C4">
              <w:rPr>
                <w:sz w:val="19"/>
                <w:szCs w:val="19"/>
              </w:rPr>
              <w:br/>
            </w:r>
            <w:r w:rsidR="002F6445" w:rsidRPr="00A5561D">
              <w:rPr>
                <w:sz w:val="19"/>
                <w:szCs w:val="19"/>
              </w:rPr>
              <w:t>End</w:t>
            </w:r>
            <w:r w:rsidR="007024C4">
              <w:rPr>
                <w:sz w:val="19"/>
                <w:szCs w:val="19"/>
              </w:rPr>
              <w:t>-</w:t>
            </w:r>
            <w:r w:rsidR="002F6445" w:rsidRPr="00A5561D">
              <w:rPr>
                <w:sz w:val="19"/>
                <w:szCs w:val="19"/>
              </w:rPr>
              <w:t>Markets</w:t>
            </w:r>
          </w:p>
        </w:tc>
        <w:tc>
          <w:tcPr>
            <w:tcW w:w="7307" w:type="dxa"/>
          </w:tcPr>
          <w:p w14:paraId="2B2B5CA5" w14:textId="544F6900" w:rsidR="001B1407" w:rsidRPr="00A5561D" w:rsidRDefault="009C3FF0" w:rsidP="00A5561D">
            <w:pPr>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ConnDOT has adopted a materials specification for compost and a construction detail which allows the substitution of compost for peat in planting backfill.</w:t>
            </w:r>
            <w:r w:rsidR="00412EFD" w:rsidRPr="00A5561D">
              <w:rPr>
                <w:sz w:val="19"/>
                <w:szCs w:val="19"/>
              </w:rPr>
              <w:t xml:space="preserve"> </w:t>
            </w:r>
            <w:r w:rsidR="001E291F" w:rsidRPr="00A5561D">
              <w:rPr>
                <w:sz w:val="19"/>
                <w:szCs w:val="19"/>
              </w:rPr>
              <w:t>CRCOG community specifications or use of local compost unknown.</w:t>
            </w:r>
          </w:p>
        </w:tc>
      </w:tr>
      <w:tr w:rsidR="000021B2" w14:paraId="50E19C72" w14:textId="77777777" w:rsidTr="00A5561D">
        <w:trPr>
          <w:trHeight w:val="419"/>
        </w:trPr>
        <w:tc>
          <w:tcPr>
            <w:cnfStyle w:val="001000000000" w:firstRow="0" w:lastRow="0" w:firstColumn="1" w:lastColumn="0" w:oddVBand="0" w:evenVBand="0" w:oddHBand="0" w:evenHBand="0" w:firstRowFirstColumn="0" w:firstRowLastColumn="0" w:lastRowFirstColumn="0" w:lastRowLastColumn="0"/>
            <w:tcW w:w="920" w:type="dxa"/>
          </w:tcPr>
          <w:p w14:paraId="6119EFDB" w14:textId="0145457C" w:rsidR="000021B2" w:rsidRPr="00A5561D" w:rsidRDefault="00C41AC7" w:rsidP="00A5561D">
            <w:pPr>
              <w:pStyle w:val="ListParagraph"/>
              <w:ind w:left="55"/>
              <w:jc w:val="center"/>
              <w:rPr>
                <w:noProof/>
                <w:sz w:val="19"/>
                <w:szCs w:val="19"/>
              </w:rPr>
            </w:pPr>
            <w:r w:rsidRPr="00A5561D">
              <w:rPr>
                <w:rFonts w:ascii="Segoe UI Symbol" w:hAnsi="Segoe UI Symbol" w:cs="Segoe UI Symbol"/>
                <w:sz w:val="19"/>
                <w:szCs w:val="19"/>
              </w:rPr>
              <w:t>◑</w:t>
            </w:r>
          </w:p>
        </w:tc>
        <w:tc>
          <w:tcPr>
            <w:tcW w:w="1865" w:type="dxa"/>
          </w:tcPr>
          <w:p w14:paraId="3B13801F" w14:textId="2DAED8AD" w:rsidR="000021B2" w:rsidRPr="00A5561D" w:rsidRDefault="000021B2" w:rsidP="00A5561D">
            <w:pPr>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Hard to Recycle</w:t>
            </w:r>
          </w:p>
        </w:tc>
        <w:tc>
          <w:tcPr>
            <w:tcW w:w="7307" w:type="dxa"/>
          </w:tcPr>
          <w:p w14:paraId="7626FDC0" w14:textId="1A9E9E11" w:rsidR="000021B2" w:rsidRPr="00A5561D" w:rsidRDefault="001759A5" w:rsidP="00A5561D">
            <w:pPr>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End</w:t>
            </w:r>
            <w:r w:rsidR="00EE3E44">
              <w:rPr>
                <w:sz w:val="19"/>
                <w:szCs w:val="19"/>
              </w:rPr>
              <w:t>-</w:t>
            </w:r>
            <w:r w:rsidRPr="00A5561D">
              <w:rPr>
                <w:sz w:val="19"/>
                <w:szCs w:val="19"/>
              </w:rPr>
              <w:t>markets for mattresses</w:t>
            </w:r>
            <w:r w:rsidR="00921D44" w:rsidRPr="00A5561D">
              <w:rPr>
                <w:sz w:val="19"/>
                <w:szCs w:val="19"/>
              </w:rPr>
              <w:t xml:space="preserve"> are unknown. Paint is reused at the New Britain Reuse store. Other paint processors are out of state. </w:t>
            </w:r>
            <w:r w:rsidR="004014CE" w:rsidRPr="00A5561D">
              <w:rPr>
                <w:sz w:val="19"/>
                <w:szCs w:val="19"/>
              </w:rPr>
              <w:t xml:space="preserve">Number of electronics recyclers in the state is unknown. </w:t>
            </w:r>
          </w:p>
        </w:tc>
      </w:tr>
      <w:tr w:rsidR="006C3D5A" w14:paraId="295953C1" w14:textId="77777777" w:rsidTr="00A5561D">
        <w:trPr>
          <w:trHeight w:val="419"/>
        </w:trPr>
        <w:tc>
          <w:tcPr>
            <w:cnfStyle w:val="001000000000" w:firstRow="0" w:lastRow="0" w:firstColumn="1" w:lastColumn="0" w:oddVBand="0" w:evenVBand="0" w:oddHBand="0" w:evenHBand="0" w:firstRowFirstColumn="0" w:firstRowLastColumn="0" w:lastRowFirstColumn="0" w:lastRowLastColumn="0"/>
            <w:tcW w:w="920" w:type="dxa"/>
          </w:tcPr>
          <w:p w14:paraId="4EF56957" w14:textId="6CBC34FF" w:rsidR="006C3D5A" w:rsidRPr="00A5561D" w:rsidRDefault="007B3BCE" w:rsidP="00A5561D">
            <w:pPr>
              <w:pStyle w:val="ListParagraph"/>
              <w:ind w:left="55"/>
              <w:jc w:val="center"/>
              <w:rPr>
                <w:rFonts w:ascii="HARVEY BALLS" w:hAnsi="HARVEY BALLS" w:hint="eastAsia"/>
                <w:sz w:val="19"/>
                <w:szCs w:val="19"/>
              </w:rPr>
            </w:pPr>
            <w:r w:rsidRPr="007B3BCE">
              <w:rPr>
                <w:noProof/>
                <w:sz w:val="36"/>
                <w:szCs w:val="36"/>
              </w:rPr>
              <w:t>●</w:t>
            </w:r>
          </w:p>
        </w:tc>
        <w:tc>
          <w:tcPr>
            <w:tcW w:w="1865" w:type="dxa"/>
          </w:tcPr>
          <w:p w14:paraId="37D700A7" w14:textId="6819CD51" w:rsidR="006C3D5A" w:rsidRPr="00A5561D" w:rsidRDefault="006C3D5A" w:rsidP="00A5561D">
            <w:pPr>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 xml:space="preserve">Access to </w:t>
            </w:r>
            <w:r w:rsidR="00B321B6" w:rsidRPr="00A5561D">
              <w:rPr>
                <w:sz w:val="19"/>
                <w:szCs w:val="19"/>
              </w:rPr>
              <w:t>F</w:t>
            </w:r>
            <w:r w:rsidRPr="00A5561D">
              <w:rPr>
                <w:sz w:val="19"/>
                <w:szCs w:val="19"/>
              </w:rPr>
              <w:t xml:space="preserve">reight and </w:t>
            </w:r>
            <w:r w:rsidR="00B321B6" w:rsidRPr="00A5561D">
              <w:rPr>
                <w:sz w:val="19"/>
                <w:szCs w:val="19"/>
              </w:rPr>
              <w:t>R</w:t>
            </w:r>
            <w:r w:rsidRPr="00A5561D">
              <w:rPr>
                <w:sz w:val="19"/>
                <w:szCs w:val="19"/>
              </w:rPr>
              <w:t>ail</w:t>
            </w:r>
          </w:p>
        </w:tc>
        <w:tc>
          <w:tcPr>
            <w:tcW w:w="7307" w:type="dxa"/>
          </w:tcPr>
          <w:p w14:paraId="4E40DC89" w14:textId="323EF116" w:rsidR="006C3D5A" w:rsidRPr="00A5561D" w:rsidRDefault="006C3D5A" w:rsidP="00A5561D">
            <w:pPr>
              <w:jc w:val="left"/>
              <w:cnfStyle w:val="000000000000" w:firstRow="0" w:lastRow="0" w:firstColumn="0" w:lastColumn="0" w:oddVBand="0" w:evenVBand="0" w:oddHBand="0" w:evenHBand="0" w:firstRowFirstColumn="0" w:firstRowLastColumn="0" w:lastRowFirstColumn="0" w:lastRowLastColumn="0"/>
              <w:rPr>
                <w:b/>
                <w:bCs/>
                <w:sz w:val="19"/>
                <w:szCs w:val="19"/>
              </w:rPr>
            </w:pPr>
            <w:r w:rsidRPr="00A5561D">
              <w:rPr>
                <w:sz w:val="19"/>
                <w:szCs w:val="19"/>
              </w:rPr>
              <w:t>Being located on transportation routes is valuable for getting materials to market</w:t>
            </w:r>
            <w:r w:rsidR="003B4C38" w:rsidRPr="00A5561D">
              <w:rPr>
                <w:sz w:val="19"/>
                <w:szCs w:val="19"/>
              </w:rPr>
              <w:t xml:space="preserve">. </w:t>
            </w:r>
            <w:r w:rsidR="007346E4" w:rsidRPr="00A5561D">
              <w:rPr>
                <w:sz w:val="19"/>
                <w:szCs w:val="19"/>
              </w:rPr>
              <w:t>CRCOG is located on major interstates</w:t>
            </w:r>
            <w:r w:rsidR="00A80801" w:rsidRPr="00A5561D">
              <w:rPr>
                <w:sz w:val="19"/>
                <w:szCs w:val="19"/>
              </w:rPr>
              <w:t xml:space="preserve"> and additionally has rail access</w:t>
            </w:r>
            <w:r w:rsidR="003B4C38" w:rsidRPr="00A5561D">
              <w:rPr>
                <w:sz w:val="19"/>
                <w:szCs w:val="19"/>
              </w:rPr>
              <w:t xml:space="preserve">. </w:t>
            </w:r>
          </w:p>
        </w:tc>
      </w:tr>
    </w:tbl>
    <w:p w14:paraId="0DD44CAE" w14:textId="43CF6CC8" w:rsidR="00CE6604" w:rsidRDefault="00CE6604" w:rsidP="00530CF3"/>
    <w:p w14:paraId="7226226A" w14:textId="2676C844" w:rsidR="006C3D5A" w:rsidRPr="00076638" w:rsidRDefault="006C3D5A" w:rsidP="00DB3E34">
      <w:pPr>
        <w:pStyle w:val="Subtitle"/>
        <w:rPr>
          <w:color w:val="D86D21" w:themeColor="accent2"/>
          <w:sz w:val="34"/>
          <w:szCs w:val="34"/>
        </w:rPr>
      </w:pPr>
      <w:bookmarkStart w:id="79" w:name="_Toc40453269"/>
      <w:bookmarkStart w:id="80" w:name="_Toc117000333"/>
      <w:bookmarkStart w:id="81" w:name="_Toc117001056"/>
      <w:r>
        <w:t>Supporting Policies</w:t>
      </w:r>
      <w:bookmarkEnd w:id="79"/>
      <w:bookmarkEnd w:id="80"/>
      <w:bookmarkEnd w:id="81"/>
    </w:p>
    <w:p w14:paraId="459A865A" w14:textId="3B7272B2" w:rsidR="00870ED4" w:rsidRPr="00870ED4" w:rsidRDefault="00076638" w:rsidP="00530CF3">
      <w:r>
        <w:t>T</w:t>
      </w:r>
      <w:r w:rsidR="006C3D5A">
        <w:t xml:space="preserve">o reach high </w:t>
      </w:r>
      <w:r w:rsidR="00443971">
        <w:t xml:space="preserve">waste </w:t>
      </w:r>
      <w:r w:rsidR="006C3D5A">
        <w:t xml:space="preserve">diversion, policies </w:t>
      </w:r>
      <w:r w:rsidR="004F3C05">
        <w:t>are</w:t>
      </w:r>
      <w:r w:rsidR="006C3D5A">
        <w:t xml:space="preserve"> needed to ensure sustainable management of </w:t>
      </w:r>
      <w:r w:rsidR="004F3C05">
        <w:t>materials</w:t>
      </w:r>
      <w:r w:rsidR="006C3D5A">
        <w:t xml:space="preserve"> is the standard practice throughout the </w:t>
      </w:r>
      <w:r w:rsidR="004F3C05">
        <w:t xml:space="preserve">region and </w:t>
      </w:r>
      <w:r w:rsidR="006C3D5A">
        <w:t xml:space="preserve">the </w:t>
      </w:r>
      <w:r w:rsidR="004F3C05">
        <w:t>state.</w:t>
      </w:r>
      <w:r w:rsidR="006C3D5A">
        <w:t xml:space="preserve"> A variety of policies that have contributed to success in other regions </w:t>
      </w:r>
      <w:r w:rsidR="004F3C05">
        <w:t>of</w:t>
      </w:r>
      <w:r w:rsidR="006C3D5A">
        <w:t xml:space="preserve"> the </w:t>
      </w:r>
      <w:r w:rsidR="00550B23">
        <w:t>U.S.</w:t>
      </w:r>
      <w:r w:rsidR="006C3D5A">
        <w:t xml:space="preserve"> and around the world</w:t>
      </w:r>
      <w:r w:rsidR="004F3C05">
        <w:t xml:space="preserve"> can be explored by CRCOG communities and the state of Connecticut.</w:t>
      </w:r>
      <w:r w:rsidR="006C3D5A">
        <w:t xml:space="preserve"> </w:t>
      </w:r>
      <w:r w:rsidR="006C3D5A" w:rsidRPr="009E3A80">
        <w:t xml:space="preserve">The following section reviews the existing state and local policies related to waste </w:t>
      </w:r>
      <w:r w:rsidR="00B62CE1">
        <w:t>di</w:t>
      </w:r>
      <w:r w:rsidR="009E58B7">
        <w:t>version</w:t>
      </w:r>
      <w:r w:rsidR="006C3D5A" w:rsidRPr="009E3A80">
        <w:t xml:space="preserve"> and disposal</w:t>
      </w:r>
      <w:r w:rsidR="004F3C05">
        <w:t>, as well as any gaps that exist and would be beneficial to address in the future.</w:t>
      </w:r>
    </w:p>
    <w:p w14:paraId="3F33F7C5" w14:textId="77777777" w:rsidR="00A604C2" w:rsidRPr="009E3A80" w:rsidRDefault="00A604C2" w:rsidP="00530CF3"/>
    <w:p w14:paraId="2FA862BA" w14:textId="6FBD4C8A" w:rsidR="004A195A" w:rsidRDefault="004A195A" w:rsidP="00530CF3">
      <w:pPr>
        <w:pStyle w:val="Caption"/>
      </w:pPr>
      <w:bookmarkStart w:id="82" w:name="_Toc116992209"/>
      <w:r>
        <w:t xml:space="preserve">Table </w:t>
      </w:r>
      <w:r>
        <w:fldChar w:fldCharType="begin"/>
      </w:r>
      <w:r>
        <w:instrText>SEQ Table \* ARABIC</w:instrText>
      </w:r>
      <w:r>
        <w:fldChar w:fldCharType="separate"/>
      </w:r>
      <w:r w:rsidR="00CC33D6">
        <w:rPr>
          <w:noProof/>
        </w:rPr>
        <w:t>4</w:t>
      </w:r>
      <w:r>
        <w:fldChar w:fldCharType="end"/>
      </w:r>
      <w:r>
        <w:t xml:space="preserve">. </w:t>
      </w:r>
      <w:r w:rsidRPr="007370A9">
        <w:t>Supporting Policies Evaluation</w:t>
      </w:r>
      <w:bookmarkEnd w:id="82"/>
    </w:p>
    <w:tbl>
      <w:tblPr>
        <w:tblStyle w:val="TableStyle1"/>
        <w:tblpPr w:leftFromText="180" w:rightFromText="180" w:vertAnchor="text" w:horzAnchor="margin" w:tblpXSpec="center" w:tblpY="125"/>
        <w:tblW w:w="10092" w:type="dxa"/>
        <w:tblCellMar>
          <w:top w:w="115" w:type="dxa"/>
          <w:left w:w="108" w:type="dxa"/>
          <w:bottom w:w="115" w:type="dxa"/>
          <w:right w:w="108" w:type="dxa"/>
        </w:tblCellMar>
        <w:tblLook w:val="06A0" w:firstRow="1" w:lastRow="0" w:firstColumn="1" w:lastColumn="0" w:noHBand="1" w:noVBand="1"/>
      </w:tblPr>
      <w:tblGrid>
        <w:gridCol w:w="1053"/>
        <w:gridCol w:w="1600"/>
        <w:gridCol w:w="7439"/>
      </w:tblGrid>
      <w:tr w:rsidR="00A5561D" w:rsidRPr="00A5561D" w14:paraId="50F45F37" w14:textId="77777777" w:rsidTr="00FF4922">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065" w:type="dxa"/>
            <w:shd w:val="clear" w:color="auto" w:fill="1D666E" w:themeFill="accent1"/>
          </w:tcPr>
          <w:p w14:paraId="0515E741" w14:textId="77777777" w:rsidR="000B0660" w:rsidRPr="00A5561D" w:rsidRDefault="000B0660" w:rsidP="00FF4922">
            <w:pPr>
              <w:pStyle w:val="ListParagraph"/>
              <w:spacing w:line="216" w:lineRule="auto"/>
              <w:ind w:right="-37" w:hanging="755"/>
              <w:jc w:val="center"/>
              <w:rPr>
                <w:color w:val="FFFFFF" w:themeColor="background1"/>
                <w:sz w:val="19"/>
                <w:szCs w:val="19"/>
              </w:rPr>
            </w:pPr>
            <w:r w:rsidRPr="00A5561D">
              <w:rPr>
                <w:color w:val="FFFFFF" w:themeColor="background1"/>
                <w:sz w:val="19"/>
                <w:szCs w:val="19"/>
              </w:rPr>
              <w:t>Uptake</w:t>
            </w:r>
          </w:p>
        </w:tc>
        <w:tc>
          <w:tcPr>
            <w:tcW w:w="1000" w:type="dxa"/>
            <w:shd w:val="clear" w:color="auto" w:fill="1D666E" w:themeFill="accent1"/>
          </w:tcPr>
          <w:p w14:paraId="3455636F" w14:textId="77777777" w:rsidR="000B0660" w:rsidRPr="00A5561D" w:rsidRDefault="000B0660" w:rsidP="00FF4922">
            <w:pPr>
              <w:pStyle w:val="ListParagraph"/>
              <w:spacing w:line="216" w:lineRule="auto"/>
              <w:ind w:left="72"/>
              <w:jc w:val="left"/>
              <w:cnfStyle w:val="100000000000" w:firstRow="1" w:lastRow="0" w:firstColumn="0" w:lastColumn="0" w:oddVBand="0" w:evenVBand="0" w:oddHBand="0" w:evenHBand="0" w:firstRowFirstColumn="0" w:firstRowLastColumn="0" w:lastRowFirstColumn="0" w:lastRowLastColumn="0"/>
              <w:rPr>
                <w:b w:val="0"/>
                <w:color w:val="FFFFFF" w:themeColor="background1"/>
                <w:sz w:val="19"/>
                <w:szCs w:val="19"/>
              </w:rPr>
            </w:pPr>
            <w:r w:rsidRPr="00A5561D">
              <w:rPr>
                <w:color w:val="FFFFFF" w:themeColor="background1"/>
                <w:sz w:val="19"/>
                <w:szCs w:val="19"/>
              </w:rPr>
              <w:t>Category</w:t>
            </w:r>
          </w:p>
        </w:tc>
        <w:tc>
          <w:tcPr>
            <w:tcW w:w="8027" w:type="dxa"/>
            <w:shd w:val="clear" w:color="auto" w:fill="1D666E" w:themeFill="accent1"/>
          </w:tcPr>
          <w:p w14:paraId="4AD4635A" w14:textId="77777777" w:rsidR="000B0660" w:rsidRPr="00A5561D" w:rsidRDefault="000B0660" w:rsidP="00FF4922">
            <w:pPr>
              <w:pStyle w:val="ListParagraph"/>
              <w:spacing w:line="216" w:lineRule="auto"/>
              <w:ind w:left="69"/>
              <w:jc w:val="left"/>
              <w:cnfStyle w:val="100000000000" w:firstRow="1" w:lastRow="0" w:firstColumn="0" w:lastColumn="0" w:oddVBand="0" w:evenVBand="0" w:oddHBand="0" w:evenHBand="0" w:firstRowFirstColumn="0" w:firstRowLastColumn="0" w:lastRowFirstColumn="0" w:lastRowLastColumn="0"/>
              <w:rPr>
                <w:b w:val="0"/>
                <w:color w:val="FFFFFF" w:themeColor="background1"/>
                <w:sz w:val="19"/>
                <w:szCs w:val="19"/>
              </w:rPr>
            </w:pPr>
            <w:r w:rsidRPr="00A5561D">
              <w:rPr>
                <w:color w:val="FFFFFF" w:themeColor="background1"/>
                <w:sz w:val="19"/>
                <w:szCs w:val="19"/>
              </w:rPr>
              <w:t>Findings</w:t>
            </w:r>
          </w:p>
        </w:tc>
      </w:tr>
      <w:tr w:rsidR="00FF4922" w:rsidRPr="00A5561D" w14:paraId="6CE045A0" w14:textId="77777777" w:rsidTr="00FF4922">
        <w:trPr>
          <w:trHeight w:val="419"/>
        </w:trPr>
        <w:tc>
          <w:tcPr>
            <w:cnfStyle w:val="001000000000" w:firstRow="0" w:lastRow="0" w:firstColumn="1" w:lastColumn="0" w:oddVBand="0" w:evenVBand="0" w:oddHBand="0" w:evenHBand="0" w:firstRowFirstColumn="0" w:firstRowLastColumn="0" w:lastRowFirstColumn="0" w:lastRowLastColumn="0"/>
            <w:tcW w:w="1065" w:type="dxa"/>
          </w:tcPr>
          <w:p w14:paraId="49F5B3EC" w14:textId="77931660" w:rsidR="000B0660" w:rsidRPr="00A5561D" w:rsidRDefault="00353B55" w:rsidP="00FF4922">
            <w:pPr>
              <w:pStyle w:val="ListParagraph"/>
              <w:spacing w:line="216" w:lineRule="auto"/>
              <w:ind w:right="-37" w:hanging="755"/>
              <w:jc w:val="center"/>
              <w:rPr>
                <w:color w:val="auto"/>
                <w:sz w:val="19"/>
                <w:szCs w:val="19"/>
              </w:rPr>
            </w:pPr>
            <w:r w:rsidRPr="007B3BCE">
              <w:rPr>
                <w:noProof/>
                <w:sz w:val="36"/>
                <w:szCs w:val="36"/>
              </w:rPr>
              <w:t>●</w:t>
            </w:r>
          </w:p>
        </w:tc>
        <w:tc>
          <w:tcPr>
            <w:tcW w:w="1000" w:type="dxa"/>
          </w:tcPr>
          <w:p w14:paraId="720430A2" w14:textId="721CF1F4" w:rsidR="000B0660" w:rsidRPr="00A5561D" w:rsidRDefault="00D427CA" w:rsidP="00FF4922">
            <w:pPr>
              <w:spacing w:line="216" w:lineRule="auto"/>
              <w:ind w:left="72"/>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G</w:t>
            </w:r>
            <w:r w:rsidR="000B0660" w:rsidRPr="00A5561D">
              <w:rPr>
                <w:sz w:val="19"/>
                <w:szCs w:val="19"/>
              </w:rPr>
              <w:t>oal</w:t>
            </w:r>
            <w:r w:rsidR="00151DD7" w:rsidRPr="00A5561D">
              <w:rPr>
                <w:sz w:val="19"/>
                <w:szCs w:val="19"/>
              </w:rPr>
              <w:t>s</w:t>
            </w:r>
            <w:r w:rsidR="000B0660" w:rsidRPr="00A5561D">
              <w:rPr>
                <w:sz w:val="19"/>
                <w:szCs w:val="19"/>
              </w:rPr>
              <w:t xml:space="preserve"> and </w:t>
            </w:r>
            <w:r w:rsidRPr="00A5561D">
              <w:rPr>
                <w:sz w:val="19"/>
                <w:szCs w:val="19"/>
              </w:rPr>
              <w:t>D</w:t>
            </w:r>
            <w:r w:rsidR="000B0660" w:rsidRPr="00A5561D">
              <w:rPr>
                <w:sz w:val="19"/>
                <w:szCs w:val="19"/>
              </w:rPr>
              <w:t xml:space="preserve">ata </w:t>
            </w:r>
            <w:r w:rsidRPr="00A5561D">
              <w:rPr>
                <w:sz w:val="19"/>
                <w:szCs w:val="19"/>
              </w:rPr>
              <w:t>T</w:t>
            </w:r>
            <w:r w:rsidR="000B0660" w:rsidRPr="00A5561D">
              <w:rPr>
                <w:sz w:val="19"/>
                <w:szCs w:val="19"/>
              </w:rPr>
              <w:t>racking</w:t>
            </w:r>
          </w:p>
        </w:tc>
        <w:tc>
          <w:tcPr>
            <w:tcW w:w="8027" w:type="dxa"/>
          </w:tcPr>
          <w:p w14:paraId="25CAB721" w14:textId="10EE9AE6" w:rsidR="000B0660" w:rsidRPr="00A5561D" w:rsidRDefault="000B0660" w:rsidP="00FF4922">
            <w:pPr>
              <w:spacing w:line="216"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 xml:space="preserve">The state of Connecticut has a target-based recycling goal of 60% diversion by 2024, though </w:t>
            </w:r>
            <w:r w:rsidR="00E8657E" w:rsidRPr="00A5561D">
              <w:rPr>
                <w:sz w:val="19"/>
                <w:szCs w:val="19"/>
              </w:rPr>
              <w:t>the</w:t>
            </w:r>
            <w:r w:rsidRPr="00A5561D">
              <w:rPr>
                <w:sz w:val="19"/>
                <w:szCs w:val="19"/>
              </w:rPr>
              <w:t xml:space="preserve"> data</w:t>
            </w:r>
            <w:r w:rsidR="00E8657E" w:rsidRPr="00A5561D">
              <w:rPr>
                <w:sz w:val="19"/>
                <w:szCs w:val="19"/>
              </w:rPr>
              <w:t xml:space="preserve"> from surveyed communities</w:t>
            </w:r>
            <w:r w:rsidRPr="00A5561D">
              <w:rPr>
                <w:sz w:val="19"/>
                <w:szCs w:val="19"/>
              </w:rPr>
              <w:t xml:space="preserve"> does not show diversion goals for individual cities. The state also requires municipalities, haulers, and processing facilities to </w:t>
            </w:r>
            <w:r w:rsidR="00931DE9" w:rsidRPr="00A5561D">
              <w:rPr>
                <w:sz w:val="19"/>
                <w:szCs w:val="19"/>
              </w:rPr>
              <w:t>report data annually</w:t>
            </w:r>
            <w:r w:rsidR="003B4C38" w:rsidRPr="00A5561D">
              <w:rPr>
                <w:sz w:val="19"/>
                <w:szCs w:val="19"/>
              </w:rPr>
              <w:t xml:space="preserve">. </w:t>
            </w:r>
            <w:r w:rsidR="009C5F94" w:rsidRPr="00A5561D">
              <w:rPr>
                <w:sz w:val="19"/>
                <w:szCs w:val="19"/>
              </w:rPr>
              <w:t xml:space="preserve">The Comprehensive Materials Management </w:t>
            </w:r>
            <w:r w:rsidR="0065645D" w:rsidRPr="00A5561D">
              <w:rPr>
                <w:sz w:val="19"/>
                <w:szCs w:val="19"/>
              </w:rPr>
              <w:t xml:space="preserve">Strategy </w:t>
            </w:r>
            <w:r w:rsidR="00931DE9" w:rsidRPr="00A5561D">
              <w:rPr>
                <w:sz w:val="19"/>
                <w:szCs w:val="19"/>
              </w:rPr>
              <w:t>recommends</w:t>
            </w:r>
            <w:r w:rsidR="0065645D" w:rsidRPr="00A5561D">
              <w:rPr>
                <w:sz w:val="19"/>
                <w:szCs w:val="19"/>
              </w:rPr>
              <w:t xml:space="preserve"> the state conduct waste characterization studies every five year</w:t>
            </w:r>
            <w:r w:rsidR="007551CD" w:rsidRPr="00A5561D">
              <w:rPr>
                <w:sz w:val="19"/>
                <w:szCs w:val="19"/>
              </w:rPr>
              <w:t xml:space="preserve">s. </w:t>
            </w:r>
          </w:p>
        </w:tc>
      </w:tr>
      <w:tr w:rsidR="00FF4922" w:rsidRPr="00A5561D" w14:paraId="2DF06D93" w14:textId="77777777" w:rsidTr="00FF4922">
        <w:trPr>
          <w:trHeight w:val="419"/>
        </w:trPr>
        <w:tc>
          <w:tcPr>
            <w:cnfStyle w:val="001000000000" w:firstRow="0" w:lastRow="0" w:firstColumn="1" w:lastColumn="0" w:oddVBand="0" w:evenVBand="0" w:oddHBand="0" w:evenHBand="0" w:firstRowFirstColumn="0" w:firstRowLastColumn="0" w:lastRowFirstColumn="0" w:lastRowLastColumn="0"/>
            <w:tcW w:w="1065" w:type="dxa"/>
          </w:tcPr>
          <w:p w14:paraId="4396F2EF" w14:textId="71885CE7" w:rsidR="000B0660" w:rsidRPr="00A5561D" w:rsidRDefault="00F5104F" w:rsidP="00FF4922">
            <w:pPr>
              <w:pStyle w:val="ListParagraph"/>
              <w:spacing w:line="216" w:lineRule="auto"/>
              <w:ind w:right="-37" w:hanging="755"/>
              <w:jc w:val="center"/>
              <w:rPr>
                <w:color w:val="auto"/>
                <w:sz w:val="19"/>
                <w:szCs w:val="19"/>
              </w:rPr>
            </w:pPr>
            <w:r w:rsidRPr="00A5561D">
              <w:rPr>
                <w:rFonts w:ascii="Segoe UI Symbol" w:hAnsi="Segoe UI Symbol" w:cs="Segoe UI Symbol"/>
                <w:noProof/>
                <w:sz w:val="19"/>
                <w:szCs w:val="19"/>
              </w:rPr>
              <w:t>◕</w:t>
            </w:r>
          </w:p>
        </w:tc>
        <w:tc>
          <w:tcPr>
            <w:tcW w:w="1000" w:type="dxa"/>
          </w:tcPr>
          <w:p w14:paraId="10F29950" w14:textId="120346CA" w:rsidR="000B0660" w:rsidRPr="00A5561D" w:rsidRDefault="000B0660" w:rsidP="00FF4922">
            <w:pPr>
              <w:spacing w:line="216" w:lineRule="auto"/>
              <w:ind w:left="72"/>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 xml:space="preserve">Mandatory </w:t>
            </w:r>
            <w:r w:rsidR="00D427CA" w:rsidRPr="00A5561D">
              <w:rPr>
                <w:sz w:val="19"/>
                <w:szCs w:val="19"/>
              </w:rPr>
              <w:t>R</w:t>
            </w:r>
            <w:r w:rsidRPr="00A5561D">
              <w:rPr>
                <w:sz w:val="19"/>
                <w:szCs w:val="19"/>
              </w:rPr>
              <w:t xml:space="preserve">ecycling </w:t>
            </w:r>
            <w:r w:rsidR="00D427CA" w:rsidRPr="00A5561D">
              <w:rPr>
                <w:sz w:val="19"/>
                <w:szCs w:val="19"/>
              </w:rPr>
              <w:t>L</w:t>
            </w:r>
            <w:r w:rsidRPr="00A5561D">
              <w:rPr>
                <w:sz w:val="19"/>
                <w:szCs w:val="19"/>
              </w:rPr>
              <w:t>egislation</w:t>
            </w:r>
          </w:p>
        </w:tc>
        <w:tc>
          <w:tcPr>
            <w:tcW w:w="8027" w:type="dxa"/>
          </w:tcPr>
          <w:p w14:paraId="45F04769" w14:textId="5B4C0E99" w:rsidR="000B0660" w:rsidRPr="00A5561D" w:rsidRDefault="000B0660" w:rsidP="00FF4922">
            <w:pPr>
              <w:spacing w:line="216"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 xml:space="preserve">Mandatory recycling legislation for designated items exists at the state level. </w:t>
            </w:r>
          </w:p>
        </w:tc>
      </w:tr>
      <w:tr w:rsidR="00FF4922" w:rsidRPr="00A5561D" w14:paraId="6FA9164B" w14:textId="77777777" w:rsidTr="00FF4922">
        <w:trPr>
          <w:trHeight w:val="419"/>
        </w:trPr>
        <w:tc>
          <w:tcPr>
            <w:cnfStyle w:val="001000000000" w:firstRow="0" w:lastRow="0" w:firstColumn="1" w:lastColumn="0" w:oddVBand="0" w:evenVBand="0" w:oddHBand="0" w:evenHBand="0" w:firstRowFirstColumn="0" w:firstRowLastColumn="0" w:lastRowFirstColumn="0" w:lastRowLastColumn="0"/>
            <w:tcW w:w="1065" w:type="dxa"/>
          </w:tcPr>
          <w:p w14:paraId="7BA85F7D" w14:textId="432AF7C3" w:rsidR="000B0660" w:rsidRPr="00A5561D" w:rsidRDefault="00D9268E" w:rsidP="00FF4922">
            <w:pPr>
              <w:pStyle w:val="ListParagraph"/>
              <w:spacing w:line="216" w:lineRule="auto"/>
              <w:ind w:right="-37" w:hanging="755"/>
              <w:jc w:val="center"/>
              <w:rPr>
                <w:color w:val="auto"/>
                <w:sz w:val="19"/>
                <w:szCs w:val="19"/>
              </w:rPr>
            </w:pPr>
            <w:r w:rsidRPr="00A5561D">
              <w:rPr>
                <w:rFonts w:ascii="Segoe UI Symbol" w:hAnsi="Segoe UI Symbol" w:cs="Segoe UI Symbol"/>
                <w:sz w:val="19"/>
                <w:szCs w:val="19"/>
              </w:rPr>
              <w:t>◑</w:t>
            </w:r>
          </w:p>
        </w:tc>
        <w:tc>
          <w:tcPr>
            <w:tcW w:w="1000" w:type="dxa"/>
          </w:tcPr>
          <w:p w14:paraId="05643C5E" w14:textId="0457B663" w:rsidR="000B0660" w:rsidRPr="00A5561D" w:rsidRDefault="000B0660" w:rsidP="00FF4922">
            <w:pPr>
              <w:spacing w:line="216" w:lineRule="auto"/>
              <w:ind w:left="72"/>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 xml:space="preserve">Mandatory </w:t>
            </w:r>
            <w:r w:rsidR="00D427CA" w:rsidRPr="00A5561D">
              <w:rPr>
                <w:sz w:val="19"/>
                <w:szCs w:val="19"/>
              </w:rPr>
              <w:t>O</w:t>
            </w:r>
            <w:r w:rsidRPr="00A5561D">
              <w:rPr>
                <w:sz w:val="19"/>
                <w:szCs w:val="19"/>
              </w:rPr>
              <w:t xml:space="preserve">rganics </w:t>
            </w:r>
            <w:r w:rsidR="00D427CA" w:rsidRPr="00A5561D">
              <w:rPr>
                <w:sz w:val="19"/>
                <w:szCs w:val="19"/>
              </w:rPr>
              <w:t>L</w:t>
            </w:r>
            <w:r w:rsidRPr="00A5561D">
              <w:rPr>
                <w:sz w:val="19"/>
                <w:szCs w:val="19"/>
              </w:rPr>
              <w:t>egislation</w:t>
            </w:r>
          </w:p>
        </w:tc>
        <w:tc>
          <w:tcPr>
            <w:tcW w:w="8027" w:type="dxa"/>
          </w:tcPr>
          <w:p w14:paraId="716CA2A9" w14:textId="77777777" w:rsidR="000B0660" w:rsidRPr="00A5561D" w:rsidRDefault="000B0660" w:rsidP="00FF4922">
            <w:pPr>
              <w:spacing w:line="216"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 xml:space="preserve">There are statewide regulations to divert certain organic material (leaves are required to be composted and grass clippings are banned from landfill disposal), and many CRCOG communities currently have yard waste programs in place. Many CRCOG communities also expressed plans to expand their organics diversion programs to include food waste, but they also mentioned a need for increased capacity for organics processing. Furthermore, recent legislation enacted in 2022 requires </w:t>
            </w:r>
            <w:r w:rsidRPr="00A5561D">
              <w:rPr>
                <w:i/>
                <w:iCs/>
                <w:sz w:val="19"/>
                <w:szCs w:val="19"/>
              </w:rPr>
              <w:t>certain</w:t>
            </w:r>
            <w:r w:rsidRPr="00A5561D">
              <w:rPr>
                <w:sz w:val="19"/>
                <w:szCs w:val="19"/>
              </w:rPr>
              <w:t xml:space="preserve"> commercial generators to source separate organic materials and ensure they are recycled at an authorized organic material composting facility that has available capacity.</w:t>
            </w:r>
          </w:p>
        </w:tc>
      </w:tr>
      <w:tr w:rsidR="00FF4922" w:rsidRPr="00A5561D" w14:paraId="134BDDE5" w14:textId="77777777" w:rsidTr="00FF4922">
        <w:trPr>
          <w:trHeight w:val="419"/>
        </w:trPr>
        <w:tc>
          <w:tcPr>
            <w:cnfStyle w:val="001000000000" w:firstRow="0" w:lastRow="0" w:firstColumn="1" w:lastColumn="0" w:oddVBand="0" w:evenVBand="0" w:oddHBand="0" w:evenHBand="0" w:firstRowFirstColumn="0" w:firstRowLastColumn="0" w:lastRowFirstColumn="0" w:lastRowLastColumn="0"/>
            <w:tcW w:w="1065" w:type="dxa"/>
          </w:tcPr>
          <w:p w14:paraId="44C92079" w14:textId="32BC4815" w:rsidR="000B0660" w:rsidRPr="00A5561D" w:rsidRDefault="007B3BCE" w:rsidP="00FF4922">
            <w:pPr>
              <w:spacing w:line="216" w:lineRule="auto"/>
              <w:ind w:right="57"/>
              <w:jc w:val="center"/>
              <w:rPr>
                <w:sz w:val="19"/>
                <w:szCs w:val="19"/>
              </w:rPr>
            </w:pPr>
            <w:r w:rsidRPr="007B3BCE">
              <w:rPr>
                <w:noProof/>
                <w:sz w:val="36"/>
                <w:szCs w:val="36"/>
              </w:rPr>
              <w:t>●</w:t>
            </w:r>
          </w:p>
        </w:tc>
        <w:tc>
          <w:tcPr>
            <w:tcW w:w="1000" w:type="dxa"/>
          </w:tcPr>
          <w:p w14:paraId="72EFAB14" w14:textId="0DCAA714" w:rsidR="000B0660" w:rsidRPr="00A5561D" w:rsidRDefault="000B0660" w:rsidP="00FF4922">
            <w:pPr>
              <w:spacing w:line="216" w:lineRule="auto"/>
              <w:ind w:left="72"/>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 xml:space="preserve">Landfill </w:t>
            </w:r>
            <w:r w:rsidR="00D427CA" w:rsidRPr="00A5561D">
              <w:rPr>
                <w:sz w:val="19"/>
                <w:szCs w:val="19"/>
              </w:rPr>
              <w:t>B</w:t>
            </w:r>
            <w:r w:rsidRPr="00A5561D">
              <w:rPr>
                <w:sz w:val="19"/>
                <w:szCs w:val="19"/>
              </w:rPr>
              <w:t>an</w:t>
            </w:r>
            <w:r w:rsidR="00D427CA" w:rsidRPr="00A5561D">
              <w:rPr>
                <w:sz w:val="19"/>
                <w:szCs w:val="19"/>
              </w:rPr>
              <w:t>s</w:t>
            </w:r>
          </w:p>
        </w:tc>
        <w:tc>
          <w:tcPr>
            <w:tcW w:w="8027" w:type="dxa"/>
          </w:tcPr>
          <w:p w14:paraId="6F831865" w14:textId="6DE658E4" w:rsidR="000B0660" w:rsidRPr="00A5561D" w:rsidRDefault="000B0660" w:rsidP="00FF4922">
            <w:pPr>
              <w:spacing w:line="216"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 xml:space="preserve">Statewide regulations ban certain items from disposal: grass clippings, household covered electronics (televisions, monitors, </w:t>
            </w:r>
            <w:r w:rsidR="00441CF2" w:rsidRPr="00A5561D">
              <w:rPr>
                <w:sz w:val="19"/>
                <w:szCs w:val="19"/>
              </w:rPr>
              <w:t>printers,</w:t>
            </w:r>
            <w:r w:rsidRPr="00A5561D">
              <w:rPr>
                <w:sz w:val="19"/>
                <w:szCs w:val="19"/>
              </w:rPr>
              <w:t xml:space="preserve"> and computers) and lead acid battery or a motor vehicle battery.</w:t>
            </w:r>
          </w:p>
        </w:tc>
      </w:tr>
      <w:tr w:rsidR="00FF4922" w:rsidRPr="00A5561D" w14:paraId="353A44B8" w14:textId="77777777" w:rsidTr="00FF4922">
        <w:trPr>
          <w:trHeight w:val="419"/>
        </w:trPr>
        <w:tc>
          <w:tcPr>
            <w:cnfStyle w:val="001000000000" w:firstRow="0" w:lastRow="0" w:firstColumn="1" w:lastColumn="0" w:oddVBand="0" w:evenVBand="0" w:oddHBand="0" w:evenHBand="0" w:firstRowFirstColumn="0" w:firstRowLastColumn="0" w:lastRowFirstColumn="0" w:lastRowLastColumn="0"/>
            <w:tcW w:w="1065" w:type="dxa"/>
          </w:tcPr>
          <w:p w14:paraId="11551FF4" w14:textId="5B74FE6A" w:rsidR="007A496C" w:rsidRPr="00A5561D" w:rsidRDefault="007B3BCE" w:rsidP="00FF4922">
            <w:pPr>
              <w:pStyle w:val="ListParagraph"/>
              <w:spacing w:line="216" w:lineRule="auto"/>
              <w:ind w:right="-37" w:hanging="755"/>
              <w:jc w:val="center"/>
              <w:rPr>
                <w:sz w:val="19"/>
                <w:szCs w:val="19"/>
              </w:rPr>
            </w:pPr>
            <w:r w:rsidRPr="007B3BCE">
              <w:rPr>
                <w:noProof/>
                <w:sz w:val="36"/>
                <w:szCs w:val="36"/>
              </w:rPr>
              <w:t>●</w:t>
            </w:r>
          </w:p>
        </w:tc>
        <w:tc>
          <w:tcPr>
            <w:tcW w:w="1000" w:type="dxa"/>
          </w:tcPr>
          <w:p w14:paraId="09B7980E" w14:textId="32785294" w:rsidR="007A496C" w:rsidRPr="00A5561D" w:rsidRDefault="007A496C" w:rsidP="00FF4922">
            <w:pPr>
              <w:spacing w:line="216" w:lineRule="auto"/>
              <w:ind w:left="72"/>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Container Deposit</w:t>
            </w:r>
            <w:r w:rsidR="00D427CA" w:rsidRPr="00A5561D">
              <w:rPr>
                <w:sz w:val="19"/>
                <w:szCs w:val="19"/>
              </w:rPr>
              <w:t>s</w:t>
            </w:r>
          </w:p>
        </w:tc>
        <w:tc>
          <w:tcPr>
            <w:tcW w:w="8027" w:type="dxa"/>
          </w:tcPr>
          <w:p w14:paraId="6350FE57" w14:textId="3B2B5047" w:rsidR="007A496C" w:rsidRPr="00A5561D" w:rsidRDefault="00762D1A" w:rsidP="00FF4922">
            <w:pPr>
              <w:spacing w:line="216"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Connecticut has a deposit redemption system (bottle bill) to encourage the recycling of beverage containers. Updates to the state’s bottle bill statute will be effective starting in 2023, with the addition of certain non-carbonated beverages, such as tea and sports drinks. Additionally, beginning in 2024, the refund value for bottles will increase to ten cents from five cents</w:t>
            </w:r>
            <w:r w:rsidR="00AB7B20" w:rsidRPr="00A5561D">
              <w:rPr>
                <w:sz w:val="19"/>
                <w:szCs w:val="19"/>
              </w:rPr>
              <w:t xml:space="preserve">. </w:t>
            </w:r>
            <w:r w:rsidR="00274EEF" w:rsidRPr="00A5561D">
              <w:rPr>
                <w:sz w:val="19"/>
                <w:szCs w:val="19"/>
              </w:rPr>
              <w:t xml:space="preserve">Grant programs also have been established to support the establishment of redemption centers in underserved communities. </w:t>
            </w:r>
          </w:p>
        </w:tc>
      </w:tr>
      <w:tr w:rsidR="00FF4922" w:rsidRPr="00A5561D" w14:paraId="39E21D9F" w14:textId="77777777" w:rsidTr="00FF4922">
        <w:trPr>
          <w:trHeight w:val="419"/>
        </w:trPr>
        <w:tc>
          <w:tcPr>
            <w:cnfStyle w:val="001000000000" w:firstRow="0" w:lastRow="0" w:firstColumn="1" w:lastColumn="0" w:oddVBand="0" w:evenVBand="0" w:oddHBand="0" w:evenHBand="0" w:firstRowFirstColumn="0" w:firstRowLastColumn="0" w:lastRowFirstColumn="0" w:lastRowLastColumn="0"/>
            <w:tcW w:w="1065" w:type="dxa"/>
          </w:tcPr>
          <w:p w14:paraId="608C4FC3" w14:textId="78C1C065" w:rsidR="000B0660" w:rsidRPr="00A5561D" w:rsidRDefault="00334AD0" w:rsidP="00FF4922">
            <w:pPr>
              <w:pStyle w:val="ListParagraph"/>
              <w:spacing w:line="216" w:lineRule="auto"/>
              <w:ind w:right="-37" w:hanging="755"/>
              <w:jc w:val="center"/>
              <w:rPr>
                <w:color w:val="auto"/>
                <w:sz w:val="19"/>
                <w:szCs w:val="19"/>
              </w:rPr>
            </w:pPr>
            <w:r w:rsidRPr="00A5561D">
              <w:rPr>
                <w:rFonts w:ascii="Segoe UI Symbol" w:hAnsi="Segoe UI Symbol" w:cs="Segoe UI Symbol"/>
                <w:sz w:val="19"/>
                <w:szCs w:val="19"/>
              </w:rPr>
              <w:t>◔</w:t>
            </w:r>
          </w:p>
        </w:tc>
        <w:tc>
          <w:tcPr>
            <w:tcW w:w="1000" w:type="dxa"/>
          </w:tcPr>
          <w:p w14:paraId="01DCE72D" w14:textId="07B39607" w:rsidR="000B0660" w:rsidRPr="00A5561D" w:rsidRDefault="0016715F" w:rsidP="00FF4922">
            <w:pPr>
              <w:spacing w:line="216" w:lineRule="auto"/>
              <w:ind w:left="72"/>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Unit-Based Pricing</w:t>
            </w:r>
          </w:p>
        </w:tc>
        <w:tc>
          <w:tcPr>
            <w:tcW w:w="8027" w:type="dxa"/>
          </w:tcPr>
          <w:p w14:paraId="129D5C14" w14:textId="6D725180" w:rsidR="000B0660" w:rsidRPr="00A5561D" w:rsidRDefault="009D1A8A" w:rsidP="00FF4922">
            <w:pPr>
              <w:spacing w:line="216"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 xml:space="preserve">Coventry and Mansfield have </w:t>
            </w:r>
            <w:r w:rsidR="0016715F" w:rsidRPr="00A5561D">
              <w:rPr>
                <w:sz w:val="19"/>
                <w:szCs w:val="19"/>
              </w:rPr>
              <w:t>unit-based pricing</w:t>
            </w:r>
            <w:r w:rsidRPr="00A5561D">
              <w:rPr>
                <w:sz w:val="19"/>
                <w:szCs w:val="19"/>
              </w:rPr>
              <w:t xml:space="preserve"> p</w:t>
            </w:r>
            <w:r w:rsidR="0016715F" w:rsidRPr="00A5561D">
              <w:rPr>
                <w:sz w:val="19"/>
                <w:szCs w:val="19"/>
              </w:rPr>
              <w:t>rograms</w:t>
            </w:r>
            <w:r w:rsidR="007570FE" w:rsidRPr="00A5561D">
              <w:rPr>
                <w:sz w:val="19"/>
                <w:szCs w:val="19"/>
              </w:rPr>
              <w:t>.</w:t>
            </w:r>
            <w:r w:rsidR="000B0660" w:rsidRPr="00A5561D">
              <w:rPr>
                <w:sz w:val="19"/>
                <w:szCs w:val="19"/>
              </w:rPr>
              <w:t xml:space="preserve"> </w:t>
            </w:r>
          </w:p>
        </w:tc>
      </w:tr>
      <w:tr w:rsidR="00FF4922" w:rsidRPr="00A5561D" w14:paraId="592C0C6F" w14:textId="77777777" w:rsidTr="00FF4922">
        <w:trPr>
          <w:trHeight w:val="419"/>
        </w:trPr>
        <w:tc>
          <w:tcPr>
            <w:cnfStyle w:val="001000000000" w:firstRow="0" w:lastRow="0" w:firstColumn="1" w:lastColumn="0" w:oddVBand="0" w:evenVBand="0" w:oddHBand="0" w:evenHBand="0" w:firstRowFirstColumn="0" w:firstRowLastColumn="0" w:lastRowFirstColumn="0" w:lastRowLastColumn="0"/>
            <w:tcW w:w="1065" w:type="dxa"/>
          </w:tcPr>
          <w:p w14:paraId="5A4E4DA9" w14:textId="4D9AF4E4" w:rsidR="000B0660" w:rsidRPr="00A5561D" w:rsidRDefault="005A46B8" w:rsidP="00FF4922">
            <w:pPr>
              <w:pStyle w:val="ListParagraph"/>
              <w:spacing w:line="216" w:lineRule="auto"/>
              <w:ind w:right="-37" w:hanging="755"/>
              <w:jc w:val="center"/>
              <w:rPr>
                <w:color w:val="auto"/>
                <w:sz w:val="19"/>
                <w:szCs w:val="19"/>
              </w:rPr>
            </w:pPr>
            <w:r w:rsidRPr="00A5561D">
              <w:rPr>
                <w:rFonts w:ascii="Segoe UI Symbol" w:hAnsi="Segoe UI Symbol" w:cs="Segoe UI Symbol"/>
                <w:sz w:val="19"/>
                <w:szCs w:val="19"/>
              </w:rPr>
              <w:t>◑</w:t>
            </w:r>
          </w:p>
        </w:tc>
        <w:tc>
          <w:tcPr>
            <w:tcW w:w="1000" w:type="dxa"/>
          </w:tcPr>
          <w:p w14:paraId="090642B6" w14:textId="168DFA20" w:rsidR="000B0660" w:rsidRPr="00A5561D" w:rsidRDefault="000B0660" w:rsidP="00FF4922">
            <w:pPr>
              <w:spacing w:line="216" w:lineRule="auto"/>
              <w:ind w:left="72"/>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Extended Producer Responsibility</w:t>
            </w:r>
          </w:p>
        </w:tc>
        <w:tc>
          <w:tcPr>
            <w:tcW w:w="8027" w:type="dxa"/>
          </w:tcPr>
          <w:p w14:paraId="5039EC53" w14:textId="6EE827B5" w:rsidR="000B0660" w:rsidRPr="00A5561D" w:rsidRDefault="000B0660" w:rsidP="00FF4922">
            <w:pPr>
              <w:spacing w:line="216" w:lineRule="auto"/>
              <w:jc w:val="left"/>
              <w:cnfStyle w:val="000000000000" w:firstRow="0" w:lastRow="0" w:firstColumn="0" w:lastColumn="0" w:oddVBand="0" w:evenVBand="0" w:oddHBand="0" w:evenHBand="0" w:firstRowFirstColumn="0" w:firstRowLastColumn="0" w:lastRowFirstColumn="0" w:lastRowLastColumn="0"/>
              <w:rPr>
                <w:b/>
                <w:bCs/>
                <w:color w:val="auto"/>
                <w:sz w:val="19"/>
                <w:szCs w:val="19"/>
              </w:rPr>
            </w:pPr>
            <w:r w:rsidRPr="00A5561D">
              <w:rPr>
                <w:sz w:val="19"/>
                <w:szCs w:val="19"/>
              </w:rPr>
              <w:t>Connecticut does not currently have a comprehensive statewide Extended Producer Responsibility program, but certain items are covered by product stewardship laws. These items include household covered electronic devices, paint, mattresses, and mercury thermostats. CRCOG communities have expressed a need for more comprehensive EPR legislation that includes more materials.</w:t>
            </w:r>
            <w:r w:rsidRPr="00A5561D">
              <w:rPr>
                <w:color w:val="auto"/>
                <w:sz w:val="19"/>
                <w:szCs w:val="19"/>
              </w:rPr>
              <w:t xml:space="preserve"> </w:t>
            </w:r>
            <w:r w:rsidR="00D0499A" w:rsidRPr="00A5561D">
              <w:rPr>
                <w:color w:val="3A3737" w:themeColor="text1"/>
                <w:sz w:val="19"/>
                <w:szCs w:val="19"/>
              </w:rPr>
              <w:t>EPR for</w:t>
            </w:r>
            <w:r w:rsidR="00D0499A" w:rsidRPr="00A5561D">
              <w:rPr>
                <w:color w:val="auto"/>
                <w:sz w:val="19"/>
                <w:szCs w:val="19"/>
              </w:rPr>
              <w:t xml:space="preserve"> p</w:t>
            </w:r>
            <w:r w:rsidR="00D0499A" w:rsidRPr="00A5561D">
              <w:rPr>
                <w:color w:val="3A3737" w:themeColor="text1"/>
                <w:sz w:val="19"/>
                <w:szCs w:val="19"/>
              </w:rPr>
              <w:t>rinted paper and packaging is expected to be reintroduced during the next legislative session.</w:t>
            </w:r>
            <w:r w:rsidR="00D0499A" w:rsidRPr="00A5561D">
              <w:rPr>
                <w:color w:val="auto"/>
                <w:sz w:val="19"/>
                <w:szCs w:val="19"/>
              </w:rPr>
              <w:t xml:space="preserve"> </w:t>
            </w:r>
          </w:p>
        </w:tc>
      </w:tr>
    </w:tbl>
    <w:p w14:paraId="0DB9BAAE" w14:textId="1823CFF5" w:rsidR="006C3D5A" w:rsidRDefault="00A5561D" w:rsidP="00FF4922">
      <w:pPr>
        <w:pStyle w:val="Subtitle"/>
      </w:pPr>
      <w:bookmarkStart w:id="83" w:name="_Toc40453270"/>
      <w:r>
        <w:br w:type="page"/>
      </w:r>
      <w:bookmarkStart w:id="84" w:name="_Toc117000334"/>
      <w:bookmarkStart w:id="85" w:name="_Toc117001057"/>
      <w:r w:rsidR="006C3D5A">
        <w:t>Education and Outreach</w:t>
      </w:r>
      <w:bookmarkEnd w:id="83"/>
      <w:bookmarkEnd w:id="84"/>
      <w:bookmarkEnd w:id="85"/>
    </w:p>
    <w:p w14:paraId="293B6E91" w14:textId="3AE7A46D" w:rsidR="006C3D5A" w:rsidRDefault="006C3D5A" w:rsidP="00530CF3">
      <w:r w:rsidRPr="001E2C72">
        <w:t xml:space="preserve">Recycling systems must be continually evaluated and adapted as material composition and technologies change. Simple, easy to understand information needs to be put in front of residents and employees across </w:t>
      </w:r>
      <w:r w:rsidR="001C44BD">
        <w:t>the CRCOG region</w:t>
      </w:r>
      <w:r w:rsidRPr="001E2C72">
        <w:t xml:space="preserve"> through up-to-date </w:t>
      </w:r>
      <w:r w:rsidR="001C44BD">
        <w:t xml:space="preserve">and easy-to-navigate </w:t>
      </w:r>
      <w:r w:rsidRPr="001E2C72">
        <w:t xml:space="preserve">websites, social media, </w:t>
      </w:r>
      <w:r w:rsidR="001C44BD">
        <w:t>mailings, community engagement, school programs,</w:t>
      </w:r>
      <w:r w:rsidRPr="001E2C72">
        <w:t xml:space="preserve"> and </w:t>
      </w:r>
      <w:r w:rsidR="001C44BD">
        <w:t>more.</w:t>
      </w:r>
      <w:r w:rsidR="00F97280">
        <w:t xml:space="preserve"> </w:t>
      </w:r>
      <w:r w:rsidRPr="001E2C72">
        <w:t xml:space="preserve">Education is powerful, but citizens are not the only ones that need educated. </w:t>
      </w:r>
      <w:r w:rsidR="00F97280">
        <w:t>Communities</w:t>
      </w:r>
      <w:r w:rsidRPr="001E2C72">
        <w:t xml:space="preserve"> will need to continue to educate front line staff (haulers and those answering phones) and elected officials to ensure informed decisions and achievement of </w:t>
      </w:r>
      <w:r w:rsidR="00F97280">
        <w:t>diversion goals</w:t>
      </w:r>
      <w:r w:rsidRPr="001E2C72">
        <w:t>.</w:t>
      </w:r>
    </w:p>
    <w:p w14:paraId="6987E722" w14:textId="599C3B98" w:rsidR="006C3D5A" w:rsidRDefault="006C3D5A" w:rsidP="00530CF3"/>
    <w:p w14:paraId="6A45D0CB" w14:textId="25C6D7C6" w:rsidR="00653D80" w:rsidRDefault="00653D80" w:rsidP="00530CF3">
      <w:pPr>
        <w:pStyle w:val="Caption"/>
      </w:pPr>
      <w:bookmarkStart w:id="86" w:name="_Toc116992210"/>
      <w:r>
        <w:t xml:space="preserve">Table </w:t>
      </w:r>
      <w:r>
        <w:fldChar w:fldCharType="begin"/>
      </w:r>
      <w:r>
        <w:instrText>SEQ Table \* ARABIC</w:instrText>
      </w:r>
      <w:r>
        <w:fldChar w:fldCharType="separate"/>
      </w:r>
      <w:r w:rsidR="00CC33D6">
        <w:rPr>
          <w:noProof/>
        </w:rPr>
        <w:t>5</w:t>
      </w:r>
      <w:r>
        <w:fldChar w:fldCharType="end"/>
      </w:r>
      <w:r>
        <w:t xml:space="preserve">. </w:t>
      </w:r>
      <w:r w:rsidRPr="007E6396">
        <w:t>Education and Outreach Evaluation</w:t>
      </w:r>
      <w:bookmarkEnd w:id="86"/>
    </w:p>
    <w:tbl>
      <w:tblPr>
        <w:tblStyle w:val="TableStyle1"/>
        <w:tblpPr w:leftFromText="180" w:rightFromText="180" w:vertAnchor="text" w:horzAnchor="margin" w:tblpY="125"/>
        <w:tblW w:w="10092" w:type="dxa"/>
        <w:tblCellMar>
          <w:top w:w="115" w:type="dxa"/>
          <w:left w:w="108" w:type="dxa"/>
          <w:bottom w:w="115" w:type="dxa"/>
          <w:right w:w="108" w:type="dxa"/>
        </w:tblCellMar>
        <w:tblLook w:val="04A0" w:firstRow="1" w:lastRow="0" w:firstColumn="1" w:lastColumn="0" w:noHBand="0" w:noVBand="1"/>
      </w:tblPr>
      <w:tblGrid>
        <w:gridCol w:w="1159"/>
        <w:gridCol w:w="1716"/>
        <w:gridCol w:w="7217"/>
      </w:tblGrid>
      <w:tr w:rsidR="00A5561D" w:rsidRPr="00A5561D" w14:paraId="0A3CC687" w14:textId="77777777" w:rsidTr="00EB4D3A">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165" w:type="dxa"/>
            <w:shd w:val="clear" w:color="auto" w:fill="1D666E" w:themeFill="accent1"/>
          </w:tcPr>
          <w:p w14:paraId="5A5DC3A1" w14:textId="77777777" w:rsidR="00513F86" w:rsidRPr="00A5561D" w:rsidRDefault="00513F86" w:rsidP="00EB4D3A">
            <w:pPr>
              <w:pStyle w:val="ListParagraph"/>
              <w:spacing w:line="216" w:lineRule="auto"/>
              <w:ind w:left="-151"/>
              <w:jc w:val="center"/>
              <w:rPr>
                <w:color w:val="FFFFFF" w:themeColor="background1"/>
                <w:sz w:val="19"/>
                <w:szCs w:val="19"/>
              </w:rPr>
            </w:pPr>
            <w:r w:rsidRPr="00A5561D">
              <w:rPr>
                <w:color w:val="FFFFFF" w:themeColor="background1"/>
                <w:sz w:val="19"/>
                <w:szCs w:val="19"/>
              </w:rPr>
              <w:t>Uptake</w:t>
            </w:r>
          </w:p>
        </w:tc>
        <w:tc>
          <w:tcPr>
            <w:tcW w:w="1620" w:type="dxa"/>
            <w:shd w:val="clear" w:color="auto" w:fill="1D666E" w:themeFill="accent1"/>
          </w:tcPr>
          <w:p w14:paraId="5A26E568" w14:textId="77777777" w:rsidR="00513F86" w:rsidRPr="00A5561D" w:rsidRDefault="00513F86" w:rsidP="00EB4D3A">
            <w:pPr>
              <w:pStyle w:val="ListParagraph"/>
              <w:spacing w:line="216" w:lineRule="auto"/>
              <w:ind w:left="57"/>
              <w:jc w:val="left"/>
              <w:cnfStyle w:val="100000000000" w:firstRow="1" w:lastRow="0" w:firstColumn="0" w:lastColumn="0" w:oddVBand="0" w:evenVBand="0" w:oddHBand="0" w:evenHBand="0" w:firstRowFirstColumn="0" w:firstRowLastColumn="0" w:lastRowFirstColumn="0" w:lastRowLastColumn="0"/>
              <w:rPr>
                <w:b w:val="0"/>
                <w:color w:val="FFFFFF" w:themeColor="background1"/>
                <w:sz w:val="19"/>
                <w:szCs w:val="19"/>
              </w:rPr>
            </w:pPr>
            <w:r w:rsidRPr="00A5561D">
              <w:rPr>
                <w:color w:val="FFFFFF" w:themeColor="background1"/>
                <w:sz w:val="19"/>
                <w:szCs w:val="19"/>
              </w:rPr>
              <w:t>Category</w:t>
            </w:r>
          </w:p>
        </w:tc>
        <w:tc>
          <w:tcPr>
            <w:tcW w:w="7307" w:type="dxa"/>
            <w:shd w:val="clear" w:color="auto" w:fill="1D666E" w:themeFill="accent1"/>
          </w:tcPr>
          <w:p w14:paraId="213BB288" w14:textId="77777777" w:rsidR="00513F86" w:rsidRPr="00A5561D" w:rsidRDefault="00513F86" w:rsidP="00EB4D3A">
            <w:pPr>
              <w:pStyle w:val="ListParagraph"/>
              <w:spacing w:line="216" w:lineRule="auto"/>
              <w:jc w:val="left"/>
              <w:cnfStyle w:val="100000000000" w:firstRow="1" w:lastRow="0" w:firstColumn="0" w:lastColumn="0" w:oddVBand="0" w:evenVBand="0" w:oddHBand="0" w:evenHBand="0" w:firstRowFirstColumn="0" w:firstRowLastColumn="0" w:lastRowFirstColumn="0" w:lastRowLastColumn="0"/>
              <w:rPr>
                <w:b w:val="0"/>
                <w:color w:val="FFFFFF" w:themeColor="background1"/>
                <w:sz w:val="19"/>
                <w:szCs w:val="19"/>
              </w:rPr>
            </w:pPr>
            <w:r w:rsidRPr="00A5561D">
              <w:rPr>
                <w:color w:val="FFFFFF" w:themeColor="background1"/>
                <w:sz w:val="19"/>
                <w:szCs w:val="19"/>
              </w:rPr>
              <w:t>Findings</w:t>
            </w:r>
          </w:p>
        </w:tc>
      </w:tr>
      <w:tr w:rsidR="00513F86" w14:paraId="0E0EE2FF" w14:textId="77777777" w:rsidTr="00EB4D3A">
        <w:trPr>
          <w:trHeight w:val="419"/>
        </w:trPr>
        <w:tc>
          <w:tcPr>
            <w:cnfStyle w:val="001000000000" w:firstRow="0" w:lastRow="0" w:firstColumn="1" w:lastColumn="0" w:oddVBand="0" w:evenVBand="0" w:oddHBand="0" w:evenHBand="0" w:firstRowFirstColumn="0" w:firstRowLastColumn="0" w:lastRowFirstColumn="0" w:lastRowLastColumn="0"/>
            <w:tcW w:w="1165" w:type="dxa"/>
          </w:tcPr>
          <w:p w14:paraId="5898E895" w14:textId="19C60EC6" w:rsidR="00513F86" w:rsidRPr="00A5561D" w:rsidRDefault="00334AD0" w:rsidP="00EB4D3A">
            <w:pPr>
              <w:pStyle w:val="ListParagraph"/>
              <w:spacing w:line="216" w:lineRule="auto"/>
              <w:ind w:left="-151"/>
              <w:jc w:val="center"/>
              <w:rPr>
                <w:color w:val="auto"/>
                <w:sz w:val="19"/>
                <w:szCs w:val="19"/>
              </w:rPr>
            </w:pPr>
            <w:r w:rsidRPr="00A5561D">
              <w:rPr>
                <w:rFonts w:ascii="Segoe UI Symbol" w:hAnsi="Segoe UI Symbol" w:cs="Segoe UI Symbol"/>
                <w:sz w:val="19"/>
                <w:szCs w:val="19"/>
              </w:rPr>
              <w:t>◔</w:t>
            </w:r>
          </w:p>
        </w:tc>
        <w:tc>
          <w:tcPr>
            <w:tcW w:w="1620" w:type="dxa"/>
          </w:tcPr>
          <w:p w14:paraId="7D1F772A" w14:textId="04080108" w:rsidR="00513F86" w:rsidRPr="00A5561D" w:rsidRDefault="00513F86" w:rsidP="00EB4D3A">
            <w:pPr>
              <w:spacing w:line="216"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 xml:space="preserve">Website with </w:t>
            </w:r>
            <w:r w:rsidR="009F345B" w:rsidRPr="00A5561D">
              <w:rPr>
                <w:sz w:val="19"/>
                <w:szCs w:val="19"/>
              </w:rPr>
              <w:t>E</w:t>
            </w:r>
            <w:r w:rsidRPr="00A5561D">
              <w:rPr>
                <w:sz w:val="19"/>
                <w:szCs w:val="19"/>
              </w:rPr>
              <w:t xml:space="preserve">ducational </w:t>
            </w:r>
            <w:r w:rsidR="009F345B" w:rsidRPr="00A5561D">
              <w:rPr>
                <w:sz w:val="19"/>
                <w:szCs w:val="19"/>
              </w:rPr>
              <w:t>M</w:t>
            </w:r>
            <w:r w:rsidRPr="00A5561D">
              <w:rPr>
                <w:sz w:val="19"/>
                <w:szCs w:val="19"/>
              </w:rPr>
              <w:t>aterials</w:t>
            </w:r>
          </w:p>
        </w:tc>
        <w:tc>
          <w:tcPr>
            <w:tcW w:w="7307" w:type="dxa"/>
          </w:tcPr>
          <w:p w14:paraId="3B2B7AB2" w14:textId="5CBCFCE2" w:rsidR="00513F86" w:rsidRPr="00A5561D" w:rsidRDefault="00513F86" w:rsidP="00EB4D3A">
            <w:pPr>
              <w:spacing w:line="216"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 xml:space="preserve">Most of the CRCOG communities maintain websites that contain information about solid waste services. However, this information can be hard to find and can require many click-throughs before residents locate information. </w:t>
            </w:r>
          </w:p>
        </w:tc>
      </w:tr>
      <w:tr w:rsidR="00513F86" w14:paraId="1C279E8C" w14:textId="77777777" w:rsidTr="00EB4D3A">
        <w:trPr>
          <w:trHeight w:val="419"/>
        </w:trPr>
        <w:tc>
          <w:tcPr>
            <w:cnfStyle w:val="001000000000" w:firstRow="0" w:lastRow="0" w:firstColumn="1" w:lastColumn="0" w:oddVBand="0" w:evenVBand="0" w:oddHBand="0" w:evenHBand="0" w:firstRowFirstColumn="0" w:firstRowLastColumn="0" w:lastRowFirstColumn="0" w:lastRowLastColumn="0"/>
            <w:tcW w:w="1165" w:type="dxa"/>
          </w:tcPr>
          <w:p w14:paraId="6C270C6D" w14:textId="396D9E4E" w:rsidR="00513F86" w:rsidRPr="00A5561D" w:rsidRDefault="00D9268E" w:rsidP="00EB4D3A">
            <w:pPr>
              <w:pStyle w:val="ListParagraph"/>
              <w:spacing w:line="216" w:lineRule="auto"/>
              <w:ind w:left="-151"/>
              <w:jc w:val="center"/>
              <w:rPr>
                <w:sz w:val="19"/>
                <w:szCs w:val="19"/>
              </w:rPr>
            </w:pPr>
            <w:r w:rsidRPr="00A5561D">
              <w:rPr>
                <w:rFonts w:ascii="Segoe UI Symbol" w:hAnsi="Segoe UI Symbol" w:cs="Segoe UI Symbol"/>
                <w:sz w:val="19"/>
                <w:szCs w:val="19"/>
              </w:rPr>
              <w:t>◑</w:t>
            </w:r>
          </w:p>
        </w:tc>
        <w:tc>
          <w:tcPr>
            <w:tcW w:w="1620" w:type="dxa"/>
          </w:tcPr>
          <w:p w14:paraId="3114AFDA" w14:textId="593E53AD" w:rsidR="00513F86" w:rsidRPr="00A5561D" w:rsidRDefault="00513F86" w:rsidP="00EB4D3A">
            <w:pPr>
              <w:spacing w:line="216"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 xml:space="preserve">General </w:t>
            </w:r>
            <w:r w:rsidR="009F345B" w:rsidRPr="00A5561D">
              <w:rPr>
                <w:sz w:val="19"/>
                <w:szCs w:val="19"/>
              </w:rPr>
              <w:t>O</w:t>
            </w:r>
            <w:r w:rsidRPr="00A5561D">
              <w:rPr>
                <w:sz w:val="19"/>
                <w:szCs w:val="19"/>
              </w:rPr>
              <w:t>utreach</w:t>
            </w:r>
          </w:p>
        </w:tc>
        <w:tc>
          <w:tcPr>
            <w:tcW w:w="7307" w:type="dxa"/>
          </w:tcPr>
          <w:p w14:paraId="01AB1A96" w14:textId="39B5A1E4" w:rsidR="00513F86" w:rsidRPr="00A5561D" w:rsidRDefault="00513F86" w:rsidP="00EB4D3A">
            <w:pPr>
              <w:spacing w:line="216"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 xml:space="preserve">CRCOG jurisdictions expressed that it can be hard to prioritize funding and executing comprehensive and consistent education for their residents. </w:t>
            </w:r>
            <w:r w:rsidR="00E91D3F" w:rsidRPr="00A5561D">
              <w:rPr>
                <w:sz w:val="19"/>
                <w:szCs w:val="19"/>
              </w:rPr>
              <w:t>T</w:t>
            </w:r>
            <w:r w:rsidRPr="00A5561D">
              <w:rPr>
                <w:sz w:val="19"/>
                <w:szCs w:val="19"/>
              </w:rPr>
              <w:t xml:space="preserve">here is a need for more staff specifically for recycling education and outreach. </w:t>
            </w:r>
            <w:r w:rsidR="007E066B" w:rsidRPr="00A5561D">
              <w:rPr>
                <w:sz w:val="19"/>
                <w:szCs w:val="19"/>
              </w:rPr>
              <w:t>M</w:t>
            </w:r>
            <w:r w:rsidRPr="00A5561D">
              <w:rPr>
                <w:sz w:val="19"/>
                <w:szCs w:val="19"/>
              </w:rPr>
              <w:t xml:space="preserve">any areas have high proportions of residents living in multi-family housing and transient populations, which can pose an outreach challenge and lead to increased contamination. </w:t>
            </w:r>
          </w:p>
        </w:tc>
      </w:tr>
      <w:tr w:rsidR="00513F86" w14:paraId="098BB098" w14:textId="77777777" w:rsidTr="00EB4D3A">
        <w:trPr>
          <w:trHeight w:val="419"/>
        </w:trPr>
        <w:tc>
          <w:tcPr>
            <w:cnfStyle w:val="001000000000" w:firstRow="0" w:lastRow="0" w:firstColumn="1" w:lastColumn="0" w:oddVBand="0" w:evenVBand="0" w:oddHBand="0" w:evenHBand="0" w:firstRowFirstColumn="0" w:firstRowLastColumn="0" w:lastRowFirstColumn="0" w:lastRowLastColumn="0"/>
            <w:tcW w:w="1165" w:type="dxa"/>
          </w:tcPr>
          <w:p w14:paraId="36FA213A" w14:textId="7F350E4B" w:rsidR="00513F86" w:rsidRPr="00A5561D" w:rsidRDefault="00D9268E" w:rsidP="00EB4D3A">
            <w:pPr>
              <w:pStyle w:val="ListParagraph"/>
              <w:spacing w:line="216" w:lineRule="auto"/>
              <w:ind w:left="-151"/>
              <w:jc w:val="center"/>
              <w:rPr>
                <w:color w:val="auto"/>
                <w:sz w:val="19"/>
                <w:szCs w:val="19"/>
              </w:rPr>
            </w:pPr>
            <w:r w:rsidRPr="00A5561D">
              <w:rPr>
                <w:rFonts w:ascii="Segoe UI Symbol" w:hAnsi="Segoe UI Symbol" w:cs="Segoe UI Symbol"/>
                <w:sz w:val="19"/>
                <w:szCs w:val="19"/>
              </w:rPr>
              <w:t>◔</w:t>
            </w:r>
          </w:p>
        </w:tc>
        <w:tc>
          <w:tcPr>
            <w:tcW w:w="1620" w:type="dxa"/>
          </w:tcPr>
          <w:p w14:paraId="34D979AD" w14:textId="081068F2" w:rsidR="00513F86" w:rsidRPr="00A5561D" w:rsidRDefault="00513F86" w:rsidP="00EB4D3A">
            <w:pPr>
              <w:spacing w:line="216"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 xml:space="preserve">Use of RecycleCT.com </w:t>
            </w:r>
            <w:r w:rsidR="009F345B" w:rsidRPr="00A5561D">
              <w:rPr>
                <w:sz w:val="19"/>
                <w:szCs w:val="19"/>
              </w:rPr>
              <w:t>R</w:t>
            </w:r>
            <w:r w:rsidRPr="00A5561D">
              <w:rPr>
                <w:sz w:val="19"/>
                <w:szCs w:val="19"/>
              </w:rPr>
              <w:t>esources</w:t>
            </w:r>
          </w:p>
        </w:tc>
        <w:tc>
          <w:tcPr>
            <w:tcW w:w="7307" w:type="dxa"/>
          </w:tcPr>
          <w:p w14:paraId="161D9FE4" w14:textId="77777777" w:rsidR="00513F86" w:rsidRPr="00A5561D" w:rsidRDefault="00513F86" w:rsidP="00EB4D3A">
            <w:pPr>
              <w:spacing w:line="216"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RecycleCT.com contains resources available to help educators, municipalities, and recycling companies inform their communities on the state’s universal, residential recycling guidelines. Although many of the CRCOG jurisdictions are aware of these resources, they are not often used, and opportunity exists to maximize this website in hopes of greater regional standardization.</w:t>
            </w:r>
          </w:p>
        </w:tc>
      </w:tr>
      <w:tr w:rsidR="00513F86" w14:paraId="022500A8" w14:textId="77777777" w:rsidTr="00EB4D3A">
        <w:trPr>
          <w:trHeight w:val="419"/>
        </w:trPr>
        <w:tc>
          <w:tcPr>
            <w:cnfStyle w:val="001000000000" w:firstRow="0" w:lastRow="0" w:firstColumn="1" w:lastColumn="0" w:oddVBand="0" w:evenVBand="0" w:oddHBand="0" w:evenHBand="0" w:firstRowFirstColumn="0" w:firstRowLastColumn="0" w:lastRowFirstColumn="0" w:lastRowLastColumn="0"/>
            <w:tcW w:w="1165" w:type="dxa"/>
          </w:tcPr>
          <w:p w14:paraId="4F0264A0" w14:textId="3172625C" w:rsidR="00513F86" w:rsidRPr="00A5561D" w:rsidRDefault="00334AD0" w:rsidP="00EB4D3A">
            <w:pPr>
              <w:pStyle w:val="ListParagraph"/>
              <w:spacing w:line="216" w:lineRule="auto"/>
              <w:ind w:left="-151"/>
              <w:jc w:val="center"/>
              <w:rPr>
                <w:color w:val="auto"/>
                <w:sz w:val="19"/>
                <w:szCs w:val="19"/>
              </w:rPr>
            </w:pPr>
            <w:r w:rsidRPr="00A5561D">
              <w:rPr>
                <w:rFonts w:ascii="Segoe UI Symbol" w:hAnsi="Segoe UI Symbol" w:cs="Segoe UI Symbol"/>
                <w:sz w:val="19"/>
                <w:szCs w:val="19"/>
              </w:rPr>
              <w:t>◔</w:t>
            </w:r>
          </w:p>
        </w:tc>
        <w:tc>
          <w:tcPr>
            <w:tcW w:w="1620" w:type="dxa"/>
          </w:tcPr>
          <w:p w14:paraId="29DB2AD0" w14:textId="7896B978" w:rsidR="00513F86" w:rsidRPr="00A5561D" w:rsidRDefault="00513F86" w:rsidP="00EB4D3A">
            <w:pPr>
              <w:spacing w:line="216"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 xml:space="preserve">Regional </w:t>
            </w:r>
            <w:r w:rsidR="009F345B" w:rsidRPr="00A5561D">
              <w:rPr>
                <w:sz w:val="19"/>
                <w:szCs w:val="19"/>
              </w:rPr>
              <w:t>S</w:t>
            </w:r>
            <w:r w:rsidRPr="00A5561D">
              <w:rPr>
                <w:sz w:val="19"/>
                <w:szCs w:val="19"/>
              </w:rPr>
              <w:t>tandardization</w:t>
            </w:r>
          </w:p>
        </w:tc>
        <w:tc>
          <w:tcPr>
            <w:tcW w:w="7307" w:type="dxa"/>
          </w:tcPr>
          <w:p w14:paraId="58063B7D" w14:textId="77777777" w:rsidR="00513F86" w:rsidRPr="00A5561D" w:rsidRDefault="00513F86" w:rsidP="00EB4D3A">
            <w:pPr>
              <w:spacing w:line="216"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CRCOG jurisdictions have expressed the desire for increased regional collaboration on education and outreach materials. Many communities are currently creating their own educational material, despite resources offered through sites such as RecycleCT.com. Regional standardization can help reduce confusion with transient populations (renters, college students, etc.) and people who may work in one area and live in another.</w:t>
            </w:r>
          </w:p>
        </w:tc>
      </w:tr>
      <w:tr w:rsidR="00CE71FA" w14:paraId="690A5698" w14:textId="77777777" w:rsidTr="00EB4D3A">
        <w:trPr>
          <w:trHeight w:val="419"/>
        </w:trPr>
        <w:tc>
          <w:tcPr>
            <w:cnfStyle w:val="001000000000" w:firstRow="0" w:lastRow="0" w:firstColumn="1" w:lastColumn="0" w:oddVBand="0" w:evenVBand="0" w:oddHBand="0" w:evenHBand="0" w:firstRowFirstColumn="0" w:firstRowLastColumn="0" w:lastRowFirstColumn="0" w:lastRowLastColumn="0"/>
            <w:tcW w:w="1165" w:type="dxa"/>
          </w:tcPr>
          <w:p w14:paraId="0B8A3F59" w14:textId="33FA3CC0" w:rsidR="00CE71FA" w:rsidRPr="00A5561D" w:rsidRDefault="007E066B" w:rsidP="00EB4D3A">
            <w:pPr>
              <w:pStyle w:val="ListParagraph"/>
              <w:spacing w:line="216" w:lineRule="auto"/>
              <w:ind w:left="-151"/>
              <w:jc w:val="center"/>
              <w:rPr>
                <w:sz w:val="19"/>
                <w:szCs w:val="19"/>
              </w:rPr>
            </w:pPr>
            <w:r w:rsidRPr="00A5561D">
              <w:rPr>
                <w:rFonts w:ascii="Segoe UI Symbol" w:hAnsi="Segoe UI Symbol" w:cs="Segoe UI Symbol"/>
                <w:sz w:val="19"/>
                <w:szCs w:val="19"/>
              </w:rPr>
              <w:t>◔</w:t>
            </w:r>
          </w:p>
        </w:tc>
        <w:tc>
          <w:tcPr>
            <w:tcW w:w="1620" w:type="dxa"/>
          </w:tcPr>
          <w:p w14:paraId="51ACDD99" w14:textId="57320149" w:rsidR="00CE71FA" w:rsidRPr="00A5561D" w:rsidRDefault="00CE71FA" w:rsidP="00EB4D3A">
            <w:pPr>
              <w:spacing w:line="216"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Governmental Leadership</w:t>
            </w:r>
          </w:p>
        </w:tc>
        <w:tc>
          <w:tcPr>
            <w:tcW w:w="7307" w:type="dxa"/>
          </w:tcPr>
          <w:p w14:paraId="6FBE0D1F" w14:textId="17CE583B" w:rsidR="00CE71FA" w:rsidRPr="00A5561D" w:rsidRDefault="00CE71FA" w:rsidP="00EB4D3A">
            <w:pPr>
              <w:spacing w:line="216"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Some communities have a recycling coordinator, but there is a need for more staff specifically for recycling education and outreach</w:t>
            </w:r>
            <w:r w:rsidR="00724CD1" w:rsidRPr="00A5561D">
              <w:rPr>
                <w:sz w:val="19"/>
                <w:szCs w:val="19"/>
              </w:rPr>
              <w:t xml:space="preserve">. </w:t>
            </w:r>
            <w:r w:rsidR="007E066B" w:rsidRPr="00A5561D">
              <w:rPr>
                <w:sz w:val="19"/>
                <w:szCs w:val="19"/>
              </w:rPr>
              <w:t>Some regional information sharing and collaboration occurs within the CRCOG region, though the area could benefit from increased collaboration and coordination through a region-specific network of solid waste professionals</w:t>
            </w:r>
            <w:r w:rsidR="00CB300B" w:rsidRPr="00A5561D">
              <w:rPr>
                <w:sz w:val="19"/>
                <w:szCs w:val="19"/>
              </w:rPr>
              <w:t xml:space="preserve">. </w:t>
            </w:r>
          </w:p>
        </w:tc>
      </w:tr>
      <w:tr w:rsidR="00513F86" w14:paraId="7E5F96A7" w14:textId="77777777" w:rsidTr="00EB4D3A">
        <w:trPr>
          <w:trHeight w:val="419"/>
        </w:trPr>
        <w:tc>
          <w:tcPr>
            <w:cnfStyle w:val="001000000000" w:firstRow="0" w:lastRow="0" w:firstColumn="1" w:lastColumn="0" w:oddVBand="0" w:evenVBand="0" w:oddHBand="0" w:evenHBand="0" w:firstRowFirstColumn="0" w:firstRowLastColumn="0" w:lastRowFirstColumn="0" w:lastRowLastColumn="0"/>
            <w:tcW w:w="1165" w:type="dxa"/>
          </w:tcPr>
          <w:p w14:paraId="5784552E" w14:textId="232AE8BD" w:rsidR="00513F86" w:rsidRPr="00A5561D" w:rsidRDefault="00334AD0" w:rsidP="00EB4D3A">
            <w:pPr>
              <w:pStyle w:val="ListParagraph"/>
              <w:spacing w:line="216" w:lineRule="auto"/>
              <w:ind w:left="-151"/>
              <w:jc w:val="center"/>
              <w:rPr>
                <w:color w:val="auto"/>
                <w:sz w:val="19"/>
                <w:szCs w:val="19"/>
              </w:rPr>
            </w:pPr>
            <w:r w:rsidRPr="00A5561D">
              <w:rPr>
                <w:rFonts w:ascii="Segoe UI Symbol" w:hAnsi="Segoe UI Symbol" w:cs="Segoe UI Symbol"/>
                <w:sz w:val="19"/>
                <w:szCs w:val="19"/>
              </w:rPr>
              <w:t>◔</w:t>
            </w:r>
          </w:p>
        </w:tc>
        <w:tc>
          <w:tcPr>
            <w:tcW w:w="1620" w:type="dxa"/>
          </w:tcPr>
          <w:p w14:paraId="0AC49956" w14:textId="77777777" w:rsidR="00513F86" w:rsidRPr="00A5561D" w:rsidRDefault="00513F86" w:rsidP="00EB4D3A">
            <w:pPr>
              <w:spacing w:line="216"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K-12 Programs</w:t>
            </w:r>
          </w:p>
        </w:tc>
        <w:tc>
          <w:tcPr>
            <w:tcW w:w="7307" w:type="dxa"/>
          </w:tcPr>
          <w:p w14:paraId="333B20A1" w14:textId="77777777" w:rsidR="00513F86" w:rsidRPr="00A5561D" w:rsidRDefault="00513F86" w:rsidP="00EB4D3A">
            <w:pPr>
              <w:spacing w:line="216"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 xml:space="preserve">Some CRCOG communities engage in programming specifically for K-12 schools. At least two school districts in the region have in-school, cafeteria compost programs, and as organics capacity increases regionally, there is a huge opportunity for food waste programs to grow in schools. Additionally, opportunity exists to include recycling education in school programming. Many resources already exist that can be easily integrated into K-12 education (e.g., Waste in Place, EcoRise). Additionally, resources for educators are available through CT DEEP, the Recycling Partnership, and other groups. </w:t>
            </w:r>
          </w:p>
        </w:tc>
      </w:tr>
      <w:tr w:rsidR="00513F86" w14:paraId="41764A16" w14:textId="77777777" w:rsidTr="00EB4D3A">
        <w:trPr>
          <w:trHeight w:val="419"/>
        </w:trPr>
        <w:tc>
          <w:tcPr>
            <w:cnfStyle w:val="001000000000" w:firstRow="0" w:lastRow="0" w:firstColumn="1" w:lastColumn="0" w:oddVBand="0" w:evenVBand="0" w:oddHBand="0" w:evenHBand="0" w:firstRowFirstColumn="0" w:firstRowLastColumn="0" w:lastRowFirstColumn="0" w:lastRowLastColumn="0"/>
            <w:tcW w:w="1165" w:type="dxa"/>
          </w:tcPr>
          <w:p w14:paraId="34238087" w14:textId="73119828" w:rsidR="00513F86" w:rsidRPr="00A5561D" w:rsidRDefault="00334AD0" w:rsidP="00EB4D3A">
            <w:pPr>
              <w:pStyle w:val="ListParagraph"/>
              <w:spacing w:line="216" w:lineRule="auto"/>
              <w:ind w:left="-151"/>
              <w:jc w:val="center"/>
              <w:rPr>
                <w:color w:val="auto"/>
                <w:sz w:val="19"/>
                <w:szCs w:val="19"/>
              </w:rPr>
            </w:pPr>
            <w:r w:rsidRPr="00A5561D">
              <w:rPr>
                <w:rFonts w:ascii="Segoe UI Symbol" w:hAnsi="Segoe UI Symbol" w:cs="Segoe UI Symbol"/>
                <w:sz w:val="19"/>
                <w:szCs w:val="19"/>
              </w:rPr>
              <w:t>◔</w:t>
            </w:r>
          </w:p>
        </w:tc>
        <w:tc>
          <w:tcPr>
            <w:tcW w:w="1620" w:type="dxa"/>
          </w:tcPr>
          <w:p w14:paraId="51067842" w14:textId="69E8D429" w:rsidR="00513F86" w:rsidRPr="00A5561D" w:rsidRDefault="00513F86" w:rsidP="00EB4D3A">
            <w:pPr>
              <w:spacing w:line="216"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 xml:space="preserve">Commercial </w:t>
            </w:r>
            <w:r w:rsidR="00A82D9E" w:rsidRPr="00A5561D">
              <w:rPr>
                <w:sz w:val="19"/>
                <w:szCs w:val="19"/>
              </w:rPr>
              <w:t>and M</w:t>
            </w:r>
            <w:r w:rsidRPr="00A5561D">
              <w:rPr>
                <w:sz w:val="19"/>
                <w:szCs w:val="19"/>
              </w:rPr>
              <w:t>ulti-</w:t>
            </w:r>
            <w:r w:rsidR="00A82D9E" w:rsidRPr="00A5561D">
              <w:rPr>
                <w:sz w:val="19"/>
                <w:szCs w:val="19"/>
              </w:rPr>
              <w:t>F</w:t>
            </w:r>
            <w:r w:rsidRPr="00A5561D">
              <w:rPr>
                <w:sz w:val="19"/>
                <w:szCs w:val="19"/>
              </w:rPr>
              <w:t>amily</w:t>
            </w:r>
          </w:p>
        </w:tc>
        <w:tc>
          <w:tcPr>
            <w:tcW w:w="7307" w:type="dxa"/>
          </w:tcPr>
          <w:p w14:paraId="0040652E" w14:textId="1BC9BC7B" w:rsidR="00513F86" w:rsidRPr="00A5561D" w:rsidRDefault="00513F86" w:rsidP="00EB4D3A">
            <w:pPr>
              <w:spacing w:line="216" w:lineRule="auto"/>
              <w:jc w:val="left"/>
              <w:cnfStyle w:val="000000000000" w:firstRow="0" w:lastRow="0" w:firstColumn="0" w:lastColumn="0" w:oddVBand="0" w:evenVBand="0" w:oddHBand="0" w:evenHBand="0" w:firstRowFirstColumn="0" w:firstRowLastColumn="0" w:lastRowFirstColumn="0" w:lastRowLastColumn="0"/>
              <w:rPr>
                <w:bCs/>
                <w:sz w:val="19"/>
                <w:szCs w:val="19"/>
              </w:rPr>
            </w:pPr>
            <w:r w:rsidRPr="00A5561D">
              <w:rPr>
                <w:bCs/>
                <w:sz w:val="19"/>
                <w:szCs w:val="19"/>
              </w:rPr>
              <w:t>Connecticut DEEP maintains a business recycling assistance webpage with resources for business owners</w:t>
            </w:r>
            <w:r w:rsidR="00724CD1" w:rsidRPr="00A5561D">
              <w:rPr>
                <w:bCs/>
                <w:sz w:val="19"/>
                <w:szCs w:val="19"/>
              </w:rPr>
              <w:t xml:space="preserve">. </w:t>
            </w:r>
            <w:r w:rsidR="0068751B" w:rsidRPr="00A5561D">
              <w:rPr>
                <w:sz w:val="19"/>
                <w:szCs w:val="19"/>
              </w:rPr>
              <w:t>The Center for Ecotechnology provides limited assistance for businesses required to compost</w:t>
            </w:r>
            <w:r w:rsidR="0001659F" w:rsidRPr="00A5561D">
              <w:rPr>
                <w:sz w:val="19"/>
                <w:szCs w:val="19"/>
              </w:rPr>
              <w:t xml:space="preserve">. </w:t>
            </w:r>
            <w:r w:rsidR="004F29A6" w:rsidRPr="00A5561D">
              <w:rPr>
                <w:sz w:val="19"/>
                <w:szCs w:val="19"/>
              </w:rPr>
              <w:t xml:space="preserve">In general, there is limited technical assistance for businesses or the multifamily sector and </w:t>
            </w:r>
            <w:r w:rsidR="004F29A6" w:rsidRPr="00A5561D">
              <w:rPr>
                <w:bCs/>
                <w:sz w:val="19"/>
                <w:szCs w:val="19"/>
              </w:rPr>
              <w:t>no public campaigns or activities targeted toward commercial generators.</w:t>
            </w:r>
          </w:p>
        </w:tc>
      </w:tr>
      <w:tr w:rsidR="00513F86" w14:paraId="5376DBA3" w14:textId="77777777" w:rsidTr="00EB4D3A">
        <w:trPr>
          <w:trHeight w:val="419"/>
        </w:trPr>
        <w:tc>
          <w:tcPr>
            <w:cnfStyle w:val="001000000000" w:firstRow="0" w:lastRow="0" w:firstColumn="1" w:lastColumn="0" w:oddVBand="0" w:evenVBand="0" w:oddHBand="0" w:evenHBand="0" w:firstRowFirstColumn="0" w:firstRowLastColumn="0" w:lastRowFirstColumn="0" w:lastRowLastColumn="0"/>
            <w:tcW w:w="1165" w:type="dxa"/>
          </w:tcPr>
          <w:p w14:paraId="108AAA25" w14:textId="4AC30926" w:rsidR="00513F86" w:rsidRPr="00A5561D" w:rsidRDefault="00D9268E" w:rsidP="00EB4D3A">
            <w:pPr>
              <w:pStyle w:val="ListParagraph"/>
              <w:spacing w:line="216" w:lineRule="auto"/>
              <w:ind w:left="-151"/>
              <w:jc w:val="center"/>
              <w:rPr>
                <w:color w:val="auto"/>
                <w:sz w:val="19"/>
                <w:szCs w:val="19"/>
              </w:rPr>
            </w:pPr>
            <w:r w:rsidRPr="00A5561D">
              <w:rPr>
                <w:rFonts w:ascii="Segoe UI Symbol" w:hAnsi="Segoe UI Symbol" w:cs="Segoe UI Symbol"/>
                <w:noProof/>
                <w:sz w:val="19"/>
                <w:szCs w:val="19"/>
              </w:rPr>
              <w:t>◕</w:t>
            </w:r>
          </w:p>
        </w:tc>
        <w:tc>
          <w:tcPr>
            <w:tcW w:w="1620" w:type="dxa"/>
          </w:tcPr>
          <w:p w14:paraId="32AE06EA" w14:textId="16F167FE" w:rsidR="00513F86" w:rsidRPr="00A5561D" w:rsidRDefault="00513F86" w:rsidP="00EB4D3A">
            <w:pPr>
              <w:spacing w:line="216"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 xml:space="preserve">Social </w:t>
            </w:r>
            <w:r w:rsidR="00A82D9E" w:rsidRPr="00A5561D">
              <w:rPr>
                <w:sz w:val="19"/>
                <w:szCs w:val="19"/>
              </w:rPr>
              <w:t>M</w:t>
            </w:r>
            <w:r w:rsidRPr="00A5561D">
              <w:rPr>
                <w:sz w:val="19"/>
                <w:szCs w:val="19"/>
              </w:rPr>
              <w:t>arketing</w:t>
            </w:r>
          </w:p>
        </w:tc>
        <w:tc>
          <w:tcPr>
            <w:tcW w:w="7307" w:type="dxa"/>
          </w:tcPr>
          <w:p w14:paraId="594BFEB2" w14:textId="77777777" w:rsidR="00513F86" w:rsidRPr="00A5561D" w:rsidRDefault="00513F86" w:rsidP="00EB4D3A">
            <w:pPr>
              <w:spacing w:line="216" w:lineRule="auto"/>
              <w:jc w:val="left"/>
              <w:cnfStyle w:val="000000000000" w:firstRow="0" w:lastRow="0" w:firstColumn="0" w:lastColumn="0" w:oddVBand="0" w:evenVBand="0" w:oddHBand="0" w:evenHBand="0" w:firstRowFirstColumn="0" w:firstRowLastColumn="0" w:lastRowFirstColumn="0" w:lastRowLastColumn="0"/>
              <w:rPr>
                <w:b/>
                <w:bCs/>
                <w:sz w:val="19"/>
                <w:szCs w:val="19"/>
              </w:rPr>
            </w:pPr>
            <w:r w:rsidRPr="00A5561D">
              <w:rPr>
                <w:sz w:val="19"/>
                <w:szCs w:val="19"/>
              </w:rPr>
              <w:t xml:space="preserve">Many CRCOG communities use social media: Facebook and Twitter for two-way engagement. </w:t>
            </w:r>
          </w:p>
        </w:tc>
      </w:tr>
      <w:tr w:rsidR="0094229F" w14:paraId="0573E68C" w14:textId="77777777" w:rsidTr="00EB4D3A">
        <w:trPr>
          <w:trHeight w:val="419"/>
        </w:trPr>
        <w:tc>
          <w:tcPr>
            <w:cnfStyle w:val="001000000000" w:firstRow="0" w:lastRow="0" w:firstColumn="1" w:lastColumn="0" w:oddVBand="0" w:evenVBand="0" w:oddHBand="0" w:evenHBand="0" w:firstRowFirstColumn="0" w:firstRowLastColumn="0" w:lastRowFirstColumn="0" w:lastRowLastColumn="0"/>
            <w:tcW w:w="1165" w:type="dxa"/>
          </w:tcPr>
          <w:p w14:paraId="1EEA1712" w14:textId="4AD590AC" w:rsidR="0094229F" w:rsidRPr="00A5561D" w:rsidRDefault="00AC794D" w:rsidP="00EB4D3A">
            <w:pPr>
              <w:pStyle w:val="ListParagraph"/>
              <w:spacing w:line="216" w:lineRule="auto"/>
              <w:ind w:left="-151"/>
              <w:jc w:val="center"/>
              <w:rPr>
                <w:sz w:val="19"/>
                <w:szCs w:val="19"/>
              </w:rPr>
            </w:pPr>
            <w:r w:rsidRPr="00AC794D">
              <w:rPr>
                <w:rFonts w:ascii="Segoe UI Symbol" w:eastAsia="Segoe UI Symbol" w:hAnsi="Segoe UI Symbol"/>
                <w:sz w:val="16"/>
                <w:szCs w:val="15"/>
                <w:lang w:eastAsia="ja-JP"/>
              </w:rPr>
              <w:t>◯</w:t>
            </w:r>
          </w:p>
        </w:tc>
        <w:tc>
          <w:tcPr>
            <w:tcW w:w="1620" w:type="dxa"/>
          </w:tcPr>
          <w:p w14:paraId="1583D745" w14:textId="4AEC61F0" w:rsidR="0094229F" w:rsidRPr="00A5561D" w:rsidRDefault="0094229F" w:rsidP="00EB4D3A">
            <w:pPr>
              <w:spacing w:line="216"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A5561D">
              <w:rPr>
                <w:sz w:val="19"/>
                <w:szCs w:val="19"/>
              </w:rPr>
              <w:t>Enforcement</w:t>
            </w:r>
          </w:p>
        </w:tc>
        <w:tc>
          <w:tcPr>
            <w:tcW w:w="7307" w:type="dxa"/>
          </w:tcPr>
          <w:p w14:paraId="7DE641B6" w14:textId="53C8C412" w:rsidR="0094229F" w:rsidRPr="00A5561D" w:rsidRDefault="0007029E" w:rsidP="00EB4D3A">
            <w:pPr>
              <w:spacing w:line="216" w:lineRule="auto"/>
              <w:jc w:val="left"/>
              <w:cnfStyle w:val="000000000000" w:firstRow="0" w:lastRow="0" w:firstColumn="0" w:lastColumn="0" w:oddVBand="0" w:evenVBand="0" w:oddHBand="0" w:evenHBand="0" w:firstRowFirstColumn="0" w:firstRowLastColumn="0" w:lastRowFirstColumn="0" w:lastRowLastColumn="0"/>
              <w:rPr>
                <w:b/>
                <w:bCs/>
                <w:sz w:val="19"/>
                <w:szCs w:val="19"/>
              </w:rPr>
            </w:pPr>
            <w:r w:rsidRPr="00A5561D">
              <w:rPr>
                <w:sz w:val="19"/>
                <w:szCs w:val="19"/>
              </w:rPr>
              <w:t>Enforcement of recycling and composting programs was not identified.</w:t>
            </w:r>
          </w:p>
        </w:tc>
      </w:tr>
    </w:tbl>
    <w:p w14:paraId="6BD7756B" w14:textId="7700E7E8" w:rsidR="00545531" w:rsidRDefault="00545531">
      <w:pPr>
        <w:spacing w:line="240" w:lineRule="auto"/>
        <w:jc w:val="left"/>
        <w:rPr>
          <w:rFonts w:ascii="Georgia" w:eastAsiaTheme="majorEastAsia" w:hAnsi="Georgia" w:cstheme="majorBidi"/>
          <w:color w:val="1D666E" w:themeColor="accent1"/>
          <w:sz w:val="32"/>
          <w:szCs w:val="32"/>
        </w:rPr>
      </w:pPr>
      <w:bookmarkStart w:id="87" w:name="_Toc40453271"/>
    </w:p>
    <w:p w14:paraId="65B5761B" w14:textId="31B43D44" w:rsidR="006C3D5A" w:rsidRDefault="006C3D5A" w:rsidP="006845CF">
      <w:pPr>
        <w:pStyle w:val="Subtitle"/>
      </w:pPr>
      <w:bookmarkStart w:id="88" w:name="_Toc117000335"/>
      <w:bookmarkStart w:id="89" w:name="_Toc117001058"/>
      <w:r>
        <w:t>Public Private Partnerships</w:t>
      </w:r>
      <w:bookmarkEnd w:id="87"/>
      <w:bookmarkEnd w:id="88"/>
      <w:bookmarkEnd w:id="89"/>
    </w:p>
    <w:p w14:paraId="720CF5F4" w14:textId="3FA2977E" w:rsidR="006C3D5A" w:rsidRDefault="006C3D5A" w:rsidP="00530CF3">
      <w:r w:rsidRPr="00095193">
        <w:t xml:space="preserve">The </w:t>
      </w:r>
      <w:r w:rsidR="00A504F4">
        <w:t xml:space="preserve">CRCOG region, the state of Connecticut, and the </w:t>
      </w:r>
      <w:r w:rsidRPr="00095193">
        <w:t xml:space="preserve">business community will </w:t>
      </w:r>
      <w:r w:rsidR="00A504F4">
        <w:t xml:space="preserve">all </w:t>
      </w:r>
      <w:r w:rsidRPr="00095193">
        <w:t xml:space="preserve">need to work closely together to find </w:t>
      </w:r>
      <w:r w:rsidR="00A504F4">
        <w:t>solutions and funding for waste diversion issues.</w:t>
      </w:r>
      <w:r w:rsidRPr="00095193">
        <w:t xml:space="preserve"> These partnerships can be found through funding opportunities with private companies, shared owner/operator agreements for MRFs and composting facilities, marketing and educational campaigns, and everything in between. Many retailers and packaging companies are realizing that local governments are responsible for the end of life for their products</w:t>
      </w:r>
      <w:r w:rsidR="005D724C">
        <w:t xml:space="preserve"> and </w:t>
      </w:r>
      <w:r w:rsidR="00A504F4">
        <w:t>are partnering to ensure products are recyclable.</w:t>
      </w:r>
      <w:r w:rsidR="00FE4602">
        <w:t xml:space="preserve"> Additionally, </w:t>
      </w:r>
      <w:r w:rsidR="0007669A">
        <w:t xml:space="preserve">federal </w:t>
      </w:r>
      <w:r w:rsidR="007D74DA">
        <w:t xml:space="preserve">infrastructure </w:t>
      </w:r>
      <w:r w:rsidR="0007669A">
        <w:t>fundi</w:t>
      </w:r>
      <w:r w:rsidR="00713E68">
        <w:t xml:space="preserve">ng </w:t>
      </w:r>
      <w:r w:rsidR="009E1966">
        <w:t xml:space="preserve">that will be coming online </w:t>
      </w:r>
      <w:r w:rsidR="00713E68">
        <w:t xml:space="preserve">from EPA presents </w:t>
      </w:r>
      <w:r w:rsidR="009E1966">
        <w:t xml:space="preserve">a unique opportunity to </w:t>
      </w:r>
      <w:r w:rsidR="00383899">
        <w:t xml:space="preserve">potentially finance some </w:t>
      </w:r>
      <w:r w:rsidR="003604AF">
        <w:t xml:space="preserve">of the solutions to </w:t>
      </w:r>
      <w:r w:rsidR="00BC5417">
        <w:t xml:space="preserve">the </w:t>
      </w:r>
      <w:r w:rsidR="003604AF">
        <w:t xml:space="preserve">capacity </w:t>
      </w:r>
      <w:r w:rsidR="00BC5417">
        <w:t xml:space="preserve">issues identified in this report. </w:t>
      </w:r>
    </w:p>
    <w:p w14:paraId="069E5F35" w14:textId="43C06B6E" w:rsidR="00A5561D" w:rsidRDefault="00A5561D">
      <w:pPr>
        <w:spacing w:line="240" w:lineRule="auto"/>
        <w:jc w:val="left"/>
        <w:rPr>
          <w:i/>
          <w:iCs/>
          <w:color w:val="002A7B" w:themeColor="text2"/>
          <w:sz w:val="18"/>
        </w:rPr>
      </w:pPr>
    </w:p>
    <w:p w14:paraId="55ECD603" w14:textId="6E768347" w:rsidR="002A6D7B" w:rsidRDefault="002A6D7B" w:rsidP="00530CF3">
      <w:pPr>
        <w:pStyle w:val="Caption"/>
      </w:pPr>
      <w:bookmarkStart w:id="90" w:name="_Toc116992211"/>
      <w:r>
        <w:t xml:space="preserve">Table </w:t>
      </w:r>
      <w:r>
        <w:fldChar w:fldCharType="begin"/>
      </w:r>
      <w:r>
        <w:instrText>SEQ Table \* ARABIC</w:instrText>
      </w:r>
      <w:r>
        <w:fldChar w:fldCharType="separate"/>
      </w:r>
      <w:r w:rsidR="00CC33D6">
        <w:rPr>
          <w:noProof/>
        </w:rPr>
        <w:t>6</w:t>
      </w:r>
      <w:r>
        <w:fldChar w:fldCharType="end"/>
      </w:r>
      <w:r>
        <w:t xml:space="preserve">. </w:t>
      </w:r>
      <w:r w:rsidRPr="00E7608C">
        <w:t>Public Private Partnerships Evaluation</w:t>
      </w:r>
      <w:bookmarkEnd w:id="90"/>
    </w:p>
    <w:tbl>
      <w:tblPr>
        <w:tblStyle w:val="TableStyle1"/>
        <w:tblpPr w:leftFromText="180" w:rightFromText="180" w:vertAnchor="text" w:horzAnchor="margin" w:tblpY="125"/>
        <w:tblW w:w="10092" w:type="dxa"/>
        <w:tblLayout w:type="fixed"/>
        <w:tblCellMar>
          <w:top w:w="115" w:type="dxa"/>
          <w:left w:w="108" w:type="dxa"/>
          <w:bottom w:w="115" w:type="dxa"/>
          <w:right w:w="108" w:type="dxa"/>
        </w:tblCellMar>
        <w:tblLook w:val="06A0" w:firstRow="1" w:lastRow="0" w:firstColumn="1" w:lastColumn="0" w:noHBand="1" w:noVBand="1"/>
      </w:tblPr>
      <w:tblGrid>
        <w:gridCol w:w="1165"/>
        <w:gridCol w:w="1800"/>
        <w:gridCol w:w="7127"/>
      </w:tblGrid>
      <w:tr w:rsidR="00A5561D" w:rsidRPr="00A5561D" w14:paraId="7C08ED99" w14:textId="77777777" w:rsidTr="00A5561D">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165" w:type="dxa"/>
            <w:shd w:val="clear" w:color="auto" w:fill="1D666E" w:themeFill="accent1"/>
          </w:tcPr>
          <w:p w14:paraId="33D38636" w14:textId="77777777" w:rsidR="00A0481E" w:rsidRPr="00EB4D3A" w:rsidRDefault="00A0481E" w:rsidP="00EB4D3A">
            <w:pPr>
              <w:pStyle w:val="ListParagraph"/>
              <w:tabs>
                <w:tab w:val="left" w:pos="325"/>
              </w:tabs>
              <w:spacing w:line="216" w:lineRule="auto"/>
              <w:ind w:left="0"/>
              <w:jc w:val="center"/>
              <w:rPr>
                <w:color w:val="FFFFFF" w:themeColor="background1"/>
                <w:sz w:val="19"/>
                <w:szCs w:val="19"/>
              </w:rPr>
            </w:pPr>
            <w:r w:rsidRPr="00EB4D3A">
              <w:rPr>
                <w:color w:val="FFFFFF" w:themeColor="background1"/>
                <w:sz w:val="19"/>
                <w:szCs w:val="19"/>
              </w:rPr>
              <w:t>Uptake</w:t>
            </w:r>
          </w:p>
        </w:tc>
        <w:tc>
          <w:tcPr>
            <w:tcW w:w="1800" w:type="dxa"/>
            <w:shd w:val="clear" w:color="auto" w:fill="1D666E" w:themeFill="accent1"/>
          </w:tcPr>
          <w:p w14:paraId="54D08BAD" w14:textId="77777777" w:rsidR="00A0481E" w:rsidRPr="00EB4D3A" w:rsidRDefault="00A0481E" w:rsidP="00EB4D3A">
            <w:pPr>
              <w:pStyle w:val="ListParagraph"/>
              <w:spacing w:line="216" w:lineRule="auto"/>
              <w:ind w:left="65" w:right="160"/>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9"/>
                <w:szCs w:val="19"/>
              </w:rPr>
            </w:pPr>
            <w:r w:rsidRPr="00EB4D3A">
              <w:rPr>
                <w:color w:val="FFFFFF" w:themeColor="background1"/>
                <w:sz w:val="19"/>
                <w:szCs w:val="19"/>
              </w:rPr>
              <w:t>Category</w:t>
            </w:r>
          </w:p>
        </w:tc>
        <w:tc>
          <w:tcPr>
            <w:tcW w:w="7127" w:type="dxa"/>
            <w:shd w:val="clear" w:color="auto" w:fill="1D666E" w:themeFill="accent1"/>
          </w:tcPr>
          <w:p w14:paraId="5F8B3F51" w14:textId="77777777" w:rsidR="00A0481E" w:rsidRPr="00EB4D3A" w:rsidRDefault="00A0481E" w:rsidP="00EB4D3A">
            <w:pPr>
              <w:pStyle w:val="ListParagraph"/>
              <w:spacing w:line="216" w:lineRule="auto"/>
              <w:ind w:left="62"/>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9"/>
                <w:szCs w:val="19"/>
              </w:rPr>
            </w:pPr>
            <w:r w:rsidRPr="00EB4D3A">
              <w:rPr>
                <w:color w:val="FFFFFF" w:themeColor="background1"/>
                <w:sz w:val="19"/>
                <w:szCs w:val="19"/>
              </w:rPr>
              <w:t>Findings</w:t>
            </w:r>
          </w:p>
        </w:tc>
      </w:tr>
      <w:tr w:rsidR="00CE3276" w14:paraId="1C2761C5" w14:textId="77777777" w:rsidTr="00A5561D">
        <w:trPr>
          <w:trHeight w:val="419"/>
        </w:trPr>
        <w:tc>
          <w:tcPr>
            <w:cnfStyle w:val="001000000000" w:firstRow="0" w:lastRow="0" w:firstColumn="1" w:lastColumn="0" w:oddVBand="0" w:evenVBand="0" w:oddHBand="0" w:evenHBand="0" w:firstRowFirstColumn="0" w:firstRowLastColumn="0" w:lastRowFirstColumn="0" w:lastRowLastColumn="0"/>
            <w:tcW w:w="1165" w:type="dxa"/>
          </w:tcPr>
          <w:p w14:paraId="7D900B5A" w14:textId="23EA6ED9" w:rsidR="00A0481E" w:rsidRPr="00EB4D3A" w:rsidRDefault="00D9268E" w:rsidP="00EB4D3A">
            <w:pPr>
              <w:pStyle w:val="ListParagraph"/>
              <w:tabs>
                <w:tab w:val="left" w:pos="325"/>
              </w:tabs>
              <w:spacing w:line="216" w:lineRule="auto"/>
              <w:ind w:left="0"/>
              <w:jc w:val="center"/>
              <w:rPr>
                <w:color w:val="auto"/>
                <w:sz w:val="19"/>
                <w:szCs w:val="19"/>
              </w:rPr>
            </w:pPr>
            <w:r w:rsidRPr="00EB4D3A">
              <w:rPr>
                <w:rFonts w:ascii="Segoe UI Symbol" w:hAnsi="Segoe UI Symbol" w:cs="Segoe UI Symbol"/>
                <w:noProof/>
                <w:sz w:val="19"/>
                <w:szCs w:val="19"/>
              </w:rPr>
              <w:t>◕</w:t>
            </w:r>
          </w:p>
        </w:tc>
        <w:tc>
          <w:tcPr>
            <w:tcW w:w="1800" w:type="dxa"/>
          </w:tcPr>
          <w:p w14:paraId="29E8E177" w14:textId="77777777" w:rsidR="0068309D" w:rsidRPr="00EB4D3A" w:rsidRDefault="00A0481E" w:rsidP="00EB4D3A">
            <w:pPr>
              <w:spacing w:line="216" w:lineRule="auto"/>
              <w:ind w:left="65" w:right="160"/>
              <w:jc w:val="left"/>
              <w:cnfStyle w:val="000000000000" w:firstRow="0" w:lastRow="0" w:firstColumn="0" w:lastColumn="0" w:oddVBand="0" w:evenVBand="0" w:oddHBand="0" w:evenHBand="0" w:firstRowFirstColumn="0" w:firstRowLastColumn="0" w:lastRowFirstColumn="0" w:lastRowLastColumn="0"/>
              <w:rPr>
                <w:sz w:val="19"/>
                <w:szCs w:val="19"/>
              </w:rPr>
            </w:pPr>
            <w:r w:rsidRPr="00EB4D3A">
              <w:rPr>
                <w:sz w:val="19"/>
                <w:szCs w:val="19"/>
              </w:rPr>
              <w:t>State Grants/</w:t>
            </w:r>
          </w:p>
          <w:p w14:paraId="1A1076CE" w14:textId="2F3BF313" w:rsidR="00A0481E" w:rsidRPr="00EB4D3A" w:rsidRDefault="00A0481E" w:rsidP="00EB4D3A">
            <w:pPr>
              <w:spacing w:line="216" w:lineRule="auto"/>
              <w:ind w:left="65" w:right="160"/>
              <w:jc w:val="left"/>
              <w:cnfStyle w:val="000000000000" w:firstRow="0" w:lastRow="0" w:firstColumn="0" w:lastColumn="0" w:oddVBand="0" w:evenVBand="0" w:oddHBand="0" w:evenHBand="0" w:firstRowFirstColumn="0" w:firstRowLastColumn="0" w:lastRowFirstColumn="0" w:lastRowLastColumn="0"/>
              <w:rPr>
                <w:sz w:val="19"/>
                <w:szCs w:val="19"/>
              </w:rPr>
            </w:pPr>
            <w:r w:rsidRPr="00EB4D3A">
              <w:rPr>
                <w:sz w:val="19"/>
                <w:szCs w:val="19"/>
              </w:rPr>
              <w:t xml:space="preserve">Funding </w:t>
            </w:r>
          </w:p>
        </w:tc>
        <w:tc>
          <w:tcPr>
            <w:tcW w:w="7127" w:type="dxa"/>
          </w:tcPr>
          <w:p w14:paraId="04AA8119" w14:textId="77777777" w:rsidR="00A0481E" w:rsidRPr="00EB4D3A" w:rsidRDefault="00A0481E" w:rsidP="00EB4D3A">
            <w:pPr>
              <w:spacing w:line="216"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EB4D3A">
              <w:rPr>
                <w:sz w:val="19"/>
                <w:szCs w:val="19"/>
              </w:rPr>
              <w:t xml:space="preserve">State grant funding is available for municipalities and regional entities to fund materials management initiatives. Some CRCOG communities have applied for and received funding from the CT DEEP Sustainable Materials Management grant fund. Solid waste funding for municipalities is also available through an update to the statewide bottle deposit redemption system, which imposed a nickel surcharge on “nips” 1.5-ounce plastic alcohol containers. This addition to the program began in October 2021 and in the first six months, the program netted more than $1.8 million in environmental cleanup and solid waste management fees that will eventually be passed to municipalities and towns where the containers were sold. Additionally, funding specifically for projects that promote food waste diversion and composting programs is available through Sustainable CT, with a $1-$1 match up to $15,000. </w:t>
            </w:r>
          </w:p>
        </w:tc>
      </w:tr>
      <w:tr w:rsidR="00CE3276" w14:paraId="43144964" w14:textId="77777777" w:rsidTr="00A5561D">
        <w:trPr>
          <w:trHeight w:val="419"/>
        </w:trPr>
        <w:tc>
          <w:tcPr>
            <w:cnfStyle w:val="001000000000" w:firstRow="0" w:lastRow="0" w:firstColumn="1" w:lastColumn="0" w:oddVBand="0" w:evenVBand="0" w:oddHBand="0" w:evenHBand="0" w:firstRowFirstColumn="0" w:firstRowLastColumn="0" w:lastRowFirstColumn="0" w:lastRowLastColumn="0"/>
            <w:tcW w:w="1165" w:type="dxa"/>
          </w:tcPr>
          <w:p w14:paraId="6A711634" w14:textId="2D15990E" w:rsidR="00345655" w:rsidRPr="00EB4D3A" w:rsidRDefault="00D9268E" w:rsidP="00EB4D3A">
            <w:pPr>
              <w:pStyle w:val="ListParagraph"/>
              <w:tabs>
                <w:tab w:val="left" w:pos="325"/>
              </w:tabs>
              <w:spacing w:line="216" w:lineRule="auto"/>
              <w:ind w:left="0"/>
              <w:jc w:val="center"/>
              <w:rPr>
                <w:color w:val="auto"/>
                <w:sz w:val="19"/>
                <w:szCs w:val="19"/>
              </w:rPr>
            </w:pPr>
            <w:r w:rsidRPr="00EB4D3A">
              <w:rPr>
                <w:rFonts w:ascii="Segoe UI Symbol" w:hAnsi="Segoe UI Symbol" w:cs="Segoe UI Symbol"/>
                <w:sz w:val="19"/>
                <w:szCs w:val="19"/>
              </w:rPr>
              <w:t>◔</w:t>
            </w:r>
          </w:p>
        </w:tc>
        <w:tc>
          <w:tcPr>
            <w:tcW w:w="1800" w:type="dxa"/>
          </w:tcPr>
          <w:p w14:paraId="0BEDA811" w14:textId="77777777" w:rsidR="00CE3276" w:rsidRPr="00EB4D3A" w:rsidRDefault="00345655" w:rsidP="00EB4D3A">
            <w:pPr>
              <w:spacing w:line="216" w:lineRule="auto"/>
              <w:ind w:left="65" w:right="160"/>
              <w:jc w:val="left"/>
              <w:cnfStyle w:val="000000000000" w:firstRow="0" w:lastRow="0" w:firstColumn="0" w:lastColumn="0" w:oddVBand="0" w:evenVBand="0" w:oddHBand="0" w:evenHBand="0" w:firstRowFirstColumn="0" w:firstRowLastColumn="0" w:lastRowFirstColumn="0" w:lastRowLastColumn="0"/>
              <w:rPr>
                <w:sz w:val="19"/>
                <w:szCs w:val="19"/>
              </w:rPr>
            </w:pPr>
            <w:r w:rsidRPr="00EB4D3A">
              <w:rPr>
                <w:sz w:val="19"/>
                <w:szCs w:val="19"/>
              </w:rPr>
              <w:t>Federal Grants/</w:t>
            </w:r>
          </w:p>
          <w:p w14:paraId="0F6DAD39" w14:textId="0D94437C" w:rsidR="00345655" w:rsidRPr="00EB4D3A" w:rsidRDefault="00345655" w:rsidP="00EB4D3A">
            <w:pPr>
              <w:spacing w:line="216" w:lineRule="auto"/>
              <w:ind w:left="65" w:right="160"/>
              <w:jc w:val="left"/>
              <w:cnfStyle w:val="000000000000" w:firstRow="0" w:lastRow="0" w:firstColumn="0" w:lastColumn="0" w:oddVBand="0" w:evenVBand="0" w:oddHBand="0" w:evenHBand="0" w:firstRowFirstColumn="0" w:firstRowLastColumn="0" w:lastRowFirstColumn="0" w:lastRowLastColumn="0"/>
              <w:rPr>
                <w:sz w:val="19"/>
                <w:szCs w:val="19"/>
              </w:rPr>
            </w:pPr>
            <w:r w:rsidRPr="00EB4D3A">
              <w:rPr>
                <w:sz w:val="19"/>
                <w:szCs w:val="19"/>
              </w:rPr>
              <w:t xml:space="preserve">Funding </w:t>
            </w:r>
          </w:p>
        </w:tc>
        <w:tc>
          <w:tcPr>
            <w:tcW w:w="7127" w:type="dxa"/>
          </w:tcPr>
          <w:p w14:paraId="7D9B1F7F" w14:textId="03022E43" w:rsidR="00345655" w:rsidRPr="00EB4D3A" w:rsidRDefault="00DB797D" w:rsidP="00EB4D3A">
            <w:pPr>
              <w:spacing w:line="216"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EB4D3A">
              <w:rPr>
                <w:sz w:val="19"/>
                <w:szCs w:val="19"/>
              </w:rPr>
              <w:t>Communities can</w:t>
            </w:r>
            <w:r w:rsidR="00370B55" w:rsidRPr="00EB4D3A">
              <w:rPr>
                <w:sz w:val="19"/>
                <w:szCs w:val="19"/>
              </w:rPr>
              <w:t xml:space="preserve"> receive </w:t>
            </w:r>
            <w:r w:rsidR="007301EA" w:rsidRPr="00EB4D3A">
              <w:rPr>
                <w:sz w:val="19"/>
                <w:szCs w:val="19"/>
              </w:rPr>
              <w:t xml:space="preserve">federal grants </w:t>
            </w:r>
            <w:r w:rsidR="00996883" w:rsidRPr="00EB4D3A">
              <w:rPr>
                <w:sz w:val="19"/>
                <w:szCs w:val="19"/>
              </w:rPr>
              <w:t>from entities such as the Environmental Protection Agency (EPA) and the US Department of Agriculture (USDA)</w:t>
            </w:r>
            <w:r w:rsidR="004149C7" w:rsidRPr="00EB4D3A">
              <w:rPr>
                <w:sz w:val="19"/>
                <w:szCs w:val="19"/>
              </w:rPr>
              <w:t xml:space="preserve">, </w:t>
            </w:r>
            <w:r w:rsidR="0084437D" w:rsidRPr="00EB4D3A">
              <w:rPr>
                <w:sz w:val="19"/>
                <w:szCs w:val="19"/>
              </w:rPr>
              <w:t xml:space="preserve">though the CRCOG communities surveyed did not </w:t>
            </w:r>
            <w:r w:rsidR="00260F04" w:rsidRPr="00EB4D3A">
              <w:rPr>
                <w:sz w:val="19"/>
                <w:szCs w:val="19"/>
              </w:rPr>
              <w:t>mention receiving federal funds in the past</w:t>
            </w:r>
            <w:r w:rsidR="007A28B9" w:rsidRPr="00EB4D3A">
              <w:rPr>
                <w:sz w:val="19"/>
                <w:szCs w:val="19"/>
              </w:rPr>
              <w:t xml:space="preserve"> to enhance their diversion programs. This </w:t>
            </w:r>
            <w:r w:rsidR="004A6169" w:rsidRPr="00EB4D3A">
              <w:rPr>
                <w:sz w:val="19"/>
                <w:szCs w:val="19"/>
              </w:rPr>
              <w:t xml:space="preserve">will be a key opportunity moving forward, as the availability of federal funds </w:t>
            </w:r>
            <w:r w:rsidR="00B6292C" w:rsidRPr="00EB4D3A">
              <w:rPr>
                <w:sz w:val="19"/>
                <w:szCs w:val="19"/>
              </w:rPr>
              <w:t>increases through infrastructure funding from EPA.</w:t>
            </w:r>
            <w:r w:rsidR="0048658D" w:rsidRPr="00EB4D3A">
              <w:rPr>
                <w:sz w:val="19"/>
                <w:szCs w:val="19"/>
              </w:rPr>
              <w:t xml:space="preserve"> </w:t>
            </w:r>
            <w:r w:rsidR="008F1A4C" w:rsidRPr="00EB4D3A">
              <w:rPr>
                <w:sz w:val="19"/>
                <w:szCs w:val="19"/>
              </w:rPr>
              <w:t xml:space="preserve">CRCOG </w:t>
            </w:r>
            <w:r w:rsidR="009A2B76" w:rsidRPr="00EB4D3A">
              <w:rPr>
                <w:sz w:val="19"/>
                <w:szCs w:val="19"/>
              </w:rPr>
              <w:t>will be well positioned to</w:t>
            </w:r>
            <w:r w:rsidR="00516ED1" w:rsidRPr="00EB4D3A">
              <w:rPr>
                <w:sz w:val="19"/>
                <w:szCs w:val="19"/>
              </w:rPr>
              <w:t xml:space="preserve"> apply for federal funding to build out diversion infrastructure (particularly for organics) with the </w:t>
            </w:r>
            <w:r w:rsidR="00A62CF7" w:rsidRPr="00EB4D3A">
              <w:rPr>
                <w:sz w:val="19"/>
                <w:szCs w:val="19"/>
              </w:rPr>
              <w:t xml:space="preserve">results of this system assessment. </w:t>
            </w:r>
          </w:p>
        </w:tc>
      </w:tr>
      <w:tr w:rsidR="00CE3276" w14:paraId="597B3A1C" w14:textId="77777777" w:rsidTr="00A5561D">
        <w:trPr>
          <w:trHeight w:val="419"/>
        </w:trPr>
        <w:tc>
          <w:tcPr>
            <w:cnfStyle w:val="001000000000" w:firstRow="0" w:lastRow="0" w:firstColumn="1" w:lastColumn="0" w:oddVBand="0" w:evenVBand="0" w:oddHBand="0" w:evenHBand="0" w:firstRowFirstColumn="0" w:firstRowLastColumn="0" w:lastRowFirstColumn="0" w:lastRowLastColumn="0"/>
            <w:tcW w:w="1165" w:type="dxa"/>
          </w:tcPr>
          <w:p w14:paraId="2DDE7332" w14:textId="1415A3D8" w:rsidR="00A0481E" w:rsidRPr="00EB4D3A" w:rsidRDefault="00AC794D" w:rsidP="00EB4D3A">
            <w:pPr>
              <w:pStyle w:val="ListParagraph"/>
              <w:tabs>
                <w:tab w:val="left" w:pos="325"/>
              </w:tabs>
              <w:spacing w:line="216" w:lineRule="auto"/>
              <w:ind w:left="0"/>
              <w:jc w:val="center"/>
              <w:rPr>
                <w:color w:val="auto"/>
                <w:sz w:val="19"/>
                <w:szCs w:val="19"/>
              </w:rPr>
            </w:pPr>
            <w:r w:rsidRPr="00EB4D3A">
              <w:rPr>
                <w:rFonts w:ascii="Segoe UI Symbol" w:eastAsia="Segoe UI Symbol" w:hAnsi="Segoe UI Symbol"/>
                <w:sz w:val="19"/>
                <w:szCs w:val="19"/>
                <w:lang w:eastAsia="ja-JP"/>
              </w:rPr>
              <w:t>◯</w:t>
            </w:r>
          </w:p>
        </w:tc>
        <w:tc>
          <w:tcPr>
            <w:tcW w:w="1800" w:type="dxa"/>
          </w:tcPr>
          <w:p w14:paraId="49F61A95" w14:textId="77777777" w:rsidR="00A0481E" w:rsidRPr="00EB4D3A" w:rsidRDefault="00A0481E" w:rsidP="00EB4D3A">
            <w:pPr>
              <w:spacing w:line="216" w:lineRule="auto"/>
              <w:ind w:left="65" w:right="160"/>
              <w:jc w:val="left"/>
              <w:cnfStyle w:val="000000000000" w:firstRow="0" w:lastRow="0" w:firstColumn="0" w:lastColumn="0" w:oddVBand="0" w:evenVBand="0" w:oddHBand="0" w:evenHBand="0" w:firstRowFirstColumn="0" w:firstRowLastColumn="0" w:lastRowFirstColumn="0" w:lastRowLastColumn="0"/>
              <w:rPr>
                <w:sz w:val="19"/>
                <w:szCs w:val="19"/>
              </w:rPr>
            </w:pPr>
            <w:r w:rsidRPr="00EB4D3A">
              <w:rPr>
                <w:sz w:val="19"/>
                <w:szCs w:val="19"/>
              </w:rPr>
              <w:t>Partner with Municipalities/Counties for Grants</w:t>
            </w:r>
          </w:p>
        </w:tc>
        <w:tc>
          <w:tcPr>
            <w:tcW w:w="7127" w:type="dxa"/>
          </w:tcPr>
          <w:p w14:paraId="0166A2AB" w14:textId="39267C64" w:rsidR="00A0481E" w:rsidRPr="00EB4D3A" w:rsidRDefault="003063D9" w:rsidP="00EB4D3A">
            <w:pPr>
              <w:spacing w:line="216"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EB4D3A">
              <w:rPr>
                <w:sz w:val="19"/>
                <w:szCs w:val="19"/>
              </w:rPr>
              <w:t xml:space="preserve">CRCOG jurisdictions currently are partnering through CRCOG to complete this system assessment and </w:t>
            </w:r>
            <w:r w:rsidR="00A20AEC" w:rsidRPr="00EB4D3A">
              <w:rPr>
                <w:sz w:val="19"/>
                <w:szCs w:val="19"/>
              </w:rPr>
              <w:t xml:space="preserve">identification of </w:t>
            </w:r>
            <w:r w:rsidR="003C0AF7" w:rsidRPr="00EB4D3A">
              <w:rPr>
                <w:sz w:val="19"/>
                <w:szCs w:val="19"/>
              </w:rPr>
              <w:t>near-term</w:t>
            </w:r>
            <w:r w:rsidR="00A20AEC" w:rsidRPr="00EB4D3A">
              <w:rPr>
                <w:sz w:val="19"/>
                <w:szCs w:val="19"/>
              </w:rPr>
              <w:t xml:space="preserve"> strategies to increase waste diversion. This </w:t>
            </w:r>
            <w:r w:rsidR="008C3716" w:rsidRPr="00EB4D3A">
              <w:rPr>
                <w:sz w:val="19"/>
                <w:szCs w:val="19"/>
              </w:rPr>
              <w:t xml:space="preserve">will </w:t>
            </w:r>
            <w:r w:rsidR="00A20AEC" w:rsidRPr="00EB4D3A">
              <w:rPr>
                <w:sz w:val="19"/>
                <w:szCs w:val="19"/>
              </w:rPr>
              <w:t>position CRCOG</w:t>
            </w:r>
            <w:r w:rsidR="00657A82" w:rsidRPr="00EB4D3A">
              <w:rPr>
                <w:sz w:val="19"/>
                <w:szCs w:val="19"/>
              </w:rPr>
              <w:t xml:space="preserve"> well if it to decide to pursue grant funding at a future date. To our knowledge, CRCOG jurisdictions </w:t>
            </w:r>
            <w:r w:rsidR="0057244F" w:rsidRPr="00EB4D3A">
              <w:rPr>
                <w:sz w:val="19"/>
                <w:szCs w:val="19"/>
              </w:rPr>
              <w:t>as a whole or in part have not previously pursu</w:t>
            </w:r>
            <w:r w:rsidR="00A248D9" w:rsidRPr="00EB4D3A">
              <w:rPr>
                <w:sz w:val="19"/>
                <w:szCs w:val="19"/>
              </w:rPr>
              <w:t xml:space="preserve">ed </w:t>
            </w:r>
            <w:r w:rsidR="005615BD" w:rsidRPr="00EB4D3A">
              <w:rPr>
                <w:sz w:val="19"/>
                <w:szCs w:val="19"/>
              </w:rPr>
              <w:t>re</w:t>
            </w:r>
            <w:r w:rsidR="00086FCB" w:rsidRPr="00EB4D3A">
              <w:rPr>
                <w:sz w:val="19"/>
                <w:szCs w:val="19"/>
              </w:rPr>
              <w:t>cycling or composting related grant fundin</w:t>
            </w:r>
            <w:r w:rsidR="00345655" w:rsidRPr="00EB4D3A">
              <w:rPr>
                <w:sz w:val="19"/>
                <w:szCs w:val="19"/>
              </w:rPr>
              <w:t>g from CRCOG.</w:t>
            </w:r>
            <w:r w:rsidR="00086FCB" w:rsidRPr="00EB4D3A">
              <w:rPr>
                <w:sz w:val="19"/>
                <w:szCs w:val="19"/>
              </w:rPr>
              <w:t xml:space="preserve"> </w:t>
            </w:r>
          </w:p>
        </w:tc>
      </w:tr>
      <w:tr w:rsidR="00CE3276" w14:paraId="4FDEDF80" w14:textId="77777777" w:rsidTr="00A5561D">
        <w:trPr>
          <w:trHeight w:val="419"/>
        </w:trPr>
        <w:tc>
          <w:tcPr>
            <w:cnfStyle w:val="001000000000" w:firstRow="0" w:lastRow="0" w:firstColumn="1" w:lastColumn="0" w:oddVBand="0" w:evenVBand="0" w:oddHBand="0" w:evenHBand="0" w:firstRowFirstColumn="0" w:firstRowLastColumn="0" w:lastRowFirstColumn="0" w:lastRowLastColumn="0"/>
            <w:tcW w:w="1165" w:type="dxa"/>
          </w:tcPr>
          <w:p w14:paraId="677122A8" w14:textId="5296C3FE" w:rsidR="00A0481E" w:rsidRPr="00EB4D3A" w:rsidRDefault="00D9268E" w:rsidP="00EB4D3A">
            <w:pPr>
              <w:pStyle w:val="ListParagraph"/>
              <w:tabs>
                <w:tab w:val="left" w:pos="325"/>
              </w:tabs>
              <w:spacing w:line="216" w:lineRule="auto"/>
              <w:ind w:left="0"/>
              <w:jc w:val="center"/>
              <w:rPr>
                <w:color w:val="auto"/>
                <w:sz w:val="19"/>
                <w:szCs w:val="19"/>
              </w:rPr>
            </w:pPr>
            <w:r w:rsidRPr="00EB4D3A">
              <w:rPr>
                <w:rFonts w:ascii="Segoe UI Symbol" w:hAnsi="Segoe UI Symbol" w:cs="Segoe UI Symbol"/>
                <w:sz w:val="19"/>
                <w:szCs w:val="19"/>
              </w:rPr>
              <w:t>◔</w:t>
            </w:r>
          </w:p>
        </w:tc>
        <w:tc>
          <w:tcPr>
            <w:tcW w:w="1800" w:type="dxa"/>
          </w:tcPr>
          <w:p w14:paraId="7A4B6E34" w14:textId="77777777" w:rsidR="00A0481E" w:rsidRPr="00EB4D3A" w:rsidRDefault="00A0481E" w:rsidP="00EB4D3A">
            <w:pPr>
              <w:spacing w:line="216" w:lineRule="auto"/>
              <w:ind w:left="65" w:right="160"/>
              <w:jc w:val="left"/>
              <w:cnfStyle w:val="000000000000" w:firstRow="0" w:lastRow="0" w:firstColumn="0" w:lastColumn="0" w:oddVBand="0" w:evenVBand="0" w:oddHBand="0" w:evenHBand="0" w:firstRowFirstColumn="0" w:firstRowLastColumn="0" w:lastRowFirstColumn="0" w:lastRowLastColumn="0"/>
              <w:rPr>
                <w:sz w:val="19"/>
                <w:szCs w:val="19"/>
              </w:rPr>
            </w:pPr>
            <w:r w:rsidRPr="00EB4D3A">
              <w:rPr>
                <w:sz w:val="19"/>
                <w:szCs w:val="19"/>
              </w:rPr>
              <w:t>Leverage Private Sector Partnerships</w:t>
            </w:r>
          </w:p>
        </w:tc>
        <w:tc>
          <w:tcPr>
            <w:tcW w:w="7127" w:type="dxa"/>
          </w:tcPr>
          <w:p w14:paraId="3ACFC5AA" w14:textId="77777777" w:rsidR="00A0481E" w:rsidRPr="00EB4D3A" w:rsidRDefault="00A0481E" w:rsidP="00EB4D3A">
            <w:pPr>
              <w:spacing w:line="216"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EB4D3A">
              <w:rPr>
                <w:sz w:val="19"/>
                <w:szCs w:val="19"/>
              </w:rPr>
              <w:t xml:space="preserve">There are few partnerships and private/public sector collaboration at this time, both in the CRCOG region and in the rest of CT. For example, the Housatonic Resources Recovery Authority’s (HRRA) filled a recycling gap by starting a glass recycling program. HRRA partners with Strategic Materials (glass beneficiator) and Urban Mining (creates a concrete substitute using recycled glass) to recycle glass beverage and food containers from drop off sites in Western CT. Another example of a private/public partnership in CT is the City of Middletown’s “Feed the Earth” program that began in 2021. The city partners with Blue Earth Compost to help restaurants and schools minimize the amount of food waste that is sent to landfills. There is no charge for restaurants who are city sanitation department customers to take advantage of the program. </w:t>
            </w:r>
          </w:p>
        </w:tc>
      </w:tr>
      <w:tr w:rsidR="00CE3276" w14:paraId="782D4983" w14:textId="77777777" w:rsidTr="00A5561D">
        <w:trPr>
          <w:trHeight w:val="419"/>
        </w:trPr>
        <w:tc>
          <w:tcPr>
            <w:cnfStyle w:val="001000000000" w:firstRow="0" w:lastRow="0" w:firstColumn="1" w:lastColumn="0" w:oddVBand="0" w:evenVBand="0" w:oddHBand="0" w:evenHBand="0" w:firstRowFirstColumn="0" w:firstRowLastColumn="0" w:lastRowFirstColumn="0" w:lastRowLastColumn="0"/>
            <w:tcW w:w="1165" w:type="dxa"/>
          </w:tcPr>
          <w:p w14:paraId="34311C0D" w14:textId="1AACAC80" w:rsidR="00A0481E" w:rsidRPr="00EB4D3A" w:rsidRDefault="00D9268E" w:rsidP="00EB4D3A">
            <w:pPr>
              <w:pStyle w:val="ListParagraph"/>
              <w:tabs>
                <w:tab w:val="left" w:pos="325"/>
              </w:tabs>
              <w:spacing w:line="216" w:lineRule="auto"/>
              <w:ind w:left="0"/>
              <w:jc w:val="center"/>
              <w:rPr>
                <w:color w:val="auto"/>
                <w:sz w:val="19"/>
                <w:szCs w:val="19"/>
              </w:rPr>
            </w:pPr>
            <w:r w:rsidRPr="00EB4D3A">
              <w:rPr>
                <w:rFonts w:ascii="Segoe UI Symbol" w:hAnsi="Segoe UI Symbol" w:cs="Segoe UI Symbol"/>
                <w:sz w:val="19"/>
                <w:szCs w:val="19"/>
              </w:rPr>
              <w:t>◑</w:t>
            </w:r>
          </w:p>
        </w:tc>
        <w:tc>
          <w:tcPr>
            <w:tcW w:w="1800" w:type="dxa"/>
          </w:tcPr>
          <w:p w14:paraId="5B0DDD70" w14:textId="55B7FFBB" w:rsidR="00A0481E" w:rsidRPr="00EB4D3A" w:rsidRDefault="00A0481E" w:rsidP="00EB4D3A">
            <w:pPr>
              <w:spacing w:line="216" w:lineRule="auto"/>
              <w:ind w:left="65" w:right="160"/>
              <w:jc w:val="left"/>
              <w:cnfStyle w:val="000000000000" w:firstRow="0" w:lastRow="0" w:firstColumn="0" w:lastColumn="0" w:oddVBand="0" w:evenVBand="0" w:oddHBand="0" w:evenHBand="0" w:firstRowFirstColumn="0" w:firstRowLastColumn="0" w:lastRowFirstColumn="0" w:lastRowLastColumn="0"/>
              <w:rPr>
                <w:sz w:val="19"/>
                <w:szCs w:val="19"/>
              </w:rPr>
            </w:pPr>
            <w:r w:rsidRPr="00EB4D3A">
              <w:rPr>
                <w:sz w:val="19"/>
                <w:szCs w:val="19"/>
              </w:rPr>
              <w:t>Cooperative Public/Private Planning</w:t>
            </w:r>
          </w:p>
        </w:tc>
        <w:tc>
          <w:tcPr>
            <w:tcW w:w="7127" w:type="dxa"/>
          </w:tcPr>
          <w:p w14:paraId="3DF4ECCD" w14:textId="0EDA7BE2" w:rsidR="00A0481E" w:rsidRPr="00EB4D3A" w:rsidRDefault="00A0481E" w:rsidP="00EB4D3A">
            <w:pPr>
              <w:spacing w:line="216"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EB4D3A">
              <w:rPr>
                <w:sz w:val="19"/>
                <w:szCs w:val="19"/>
              </w:rPr>
              <w:t xml:space="preserve">There are a few professional organizations in Connecticut dedicated to advancing recycling and materials management through stakeholder engagement and education. The Connecticut Recyclers Coalition is a statewide nonprofit that puts on events and provides resources </w:t>
            </w:r>
            <w:r w:rsidR="006220E5" w:rsidRPr="00EB4D3A">
              <w:rPr>
                <w:sz w:val="19"/>
                <w:szCs w:val="19"/>
              </w:rPr>
              <w:t>on</w:t>
            </w:r>
            <w:r w:rsidRPr="00EB4D3A">
              <w:rPr>
                <w:sz w:val="19"/>
                <w:szCs w:val="19"/>
              </w:rPr>
              <w:t xml:space="preserve"> recycling. Additionally, the Connecticut Product Stewardship Council</w:t>
            </w:r>
            <w:r w:rsidR="00C2177B" w:rsidRPr="00EB4D3A">
              <w:rPr>
                <w:sz w:val="19"/>
                <w:szCs w:val="19"/>
              </w:rPr>
              <w:t xml:space="preserve"> (CTPSC)</w:t>
            </w:r>
            <w:r w:rsidRPr="00EB4D3A">
              <w:rPr>
                <w:sz w:val="19"/>
                <w:szCs w:val="19"/>
              </w:rPr>
              <w:t xml:space="preserve"> is an unincorporated entity that recognizes product stewardship as an approach to managing environmental impacts. The CRCOG jurisdictions of Avon, Hartford, and Mansfield are members of the CTPSC, and there is opportunity for both CRCOG, as a regional entity, and more CRCOG communities to become active in this group, especially given that EPR was identified as a need in the state. </w:t>
            </w:r>
          </w:p>
        </w:tc>
      </w:tr>
      <w:tr w:rsidR="00CE3276" w14:paraId="5D06DEDB" w14:textId="77777777" w:rsidTr="00A5561D">
        <w:trPr>
          <w:trHeight w:val="419"/>
        </w:trPr>
        <w:tc>
          <w:tcPr>
            <w:cnfStyle w:val="001000000000" w:firstRow="0" w:lastRow="0" w:firstColumn="1" w:lastColumn="0" w:oddVBand="0" w:evenVBand="0" w:oddHBand="0" w:evenHBand="0" w:firstRowFirstColumn="0" w:firstRowLastColumn="0" w:lastRowFirstColumn="0" w:lastRowLastColumn="0"/>
            <w:tcW w:w="1165" w:type="dxa"/>
          </w:tcPr>
          <w:p w14:paraId="4FE5F389" w14:textId="1AF7D31E" w:rsidR="002411C3" w:rsidRPr="00EB4D3A" w:rsidRDefault="002411C3" w:rsidP="00EB4D3A">
            <w:pPr>
              <w:pStyle w:val="ListParagraph"/>
              <w:tabs>
                <w:tab w:val="left" w:pos="325"/>
              </w:tabs>
              <w:spacing w:line="216" w:lineRule="auto"/>
              <w:ind w:left="0"/>
              <w:jc w:val="center"/>
              <w:rPr>
                <w:sz w:val="19"/>
                <w:szCs w:val="19"/>
              </w:rPr>
            </w:pPr>
            <w:r w:rsidRPr="00EB4D3A">
              <w:rPr>
                <w:rFonts w:ascii="Segoe UI Symbol" w:hAnsi="Segoe UI Symbol" w:cs="Segoe UI Symbol"/>
                <w:noProof/>
                <w:sz w:val="19"/>
                <w:szCs w:val="19"/>
              </w:rPr>
              <w:t>◕</w:t>
            </w:r>
          </w:p>
        </w:tc>
        <w:tc>
          <w:tcPr>
            <w:tcW w:w="1800" w:type="dxa"/>
          </w:tcPr>
          <w:p w14:paraId="43BCA636" w14:textId="2BA91AF1" w:rsidR="002411C3" w:rsidRPr="00EB4D3A" w:rsidRDefault="002411C3" w:rsidP="00EB4D3A">
            <w:pPr>
              <w:spacing w:line="216" w:lineRule="auto"/>
              <w:ind w:left="65" w:right="160"/>
              <w:jc w:val="left"/>
              <w:cnfStyle w:val="000000000000" w:firstRow="0" w:lastRow="0" w:firstColumn="0" w:lastColumn="0" w:oddVBand="0" w:evenVBand="0" w:oddHBand="0" w:evenHBand="0" w:firstRowFirstColumn="0" w:firstRowLastColumn="0" w:lastRowFirstColumn="0" w:lastRowLastColumn="0"/>
              <w:rPr>
                <w:sz w:val="19"/>
                <w:szCs w:val="19"/>
              </w:rPr>
            </w:pPr>
            <w:r w:rsidRPr="00EB4D3A">
              <w:rPr>
                <w:sz w:val="19"/>
                <w:szCs w:val="19"/>
              </w:rPr>
              <w:t>Governmental Leadership &amp; Coordination</w:t>
            </w:r>
          </w:p>
        </w:tc>
        <w:tc>
          <w:tcPr>
            <w:tcW w:w="7127" w:type="dxa"/>
          </w:tcPr>
          <w:p w14:paraId="37413E7C" w14:textId="72D4EE9C" w:rsidR="002411C3" w:rsidRPr="00EB4D3A" w:rsidRDefault="002411C3" w:rsidP="00EB4D3A">
            <w:pPr>
              <w:spacing w:line="216" w:lineRule="auto"/>
              <w:jc w:val="left"/>
              <w:cnfStyle w:val="000000000000" w:firstRow="0" w:lastRow="0" w:firstColumn="0" w:lastColumn="0" w:oddVBand="0" w:evenVBand="0" w:oddHBand="0" w:evenHBand="0" w:firstRowFirstColumn="0" w:firstRowLastColumn="0" w:lastRowFirstColumn="0" w:lastRowLastColumn="0"/>
              <w:rPr>
                <w:sz w:val="19"/>
                <w:szCs w:val="19"/>
              </w:rPr>
            </w:pPr>
            <w:r w:rsidRPr="00EB4D3A">
              <w:rPr>
                <w:sz w:val="19"/>
                <w:szCs w:val="19"/>
              </w:rPr>
              <w:t xml:space="preserve">Connecticut DEEP and more than 90 municipalities from across the state formed the Connecticut Coalition for Sustainable Materials Management (CCSMM) to explore ways to reduce the amount of waste that is generated in the state, improve reuse, recycling, organics collection, support EPR legislation, and consider other innovative solutions. As part of this initiative, four work groups were created focused on EPR, food scraps/organics collection, improving reuse and recycling, and unit-based pricing (PAYT). Additionally, Sustainable CT is a nonprofit organization that was created by CT municipalities to foster inclusive, </w:t>
            </w:r>
            <w:r w:rsidR="00B37BCC" w:rsidRPr="00EB4D3A">
              <w:rPr>
                <w:sz w:val="19"/>
                <w:szCs w:val="19"/>
              </w:rPr>
              <w:t>resilient,</w:t>
            </w:r>
            <w:r w:rsidRPr="00EB4D3A">
              <w:rPr>
                <w:sz w:val="19"/>
                <w:szCs w:val="19"/>
              </w:rPr>
              <w:t xml:space="preserve"> and vibrant CT cities. The initiative includes a voluntary certification program for municipalities, as well as a wide-ranging menu of best practices and funding opportunities. Eight CRCOG communities are certified bronze municipalities, and nine CRCOG communities are certified silver municipalities.</w:t>
            </w:r>
          </w:p>
        </w:tc>
      </w:tr>
      <w:tr w:rsidR="00CE3276" w14:paraId="1E2D4A0D" w14:textId="77777777" w:rsidTr="00A5561D">
        <w:trPr>
          <w:trHeight w:val="419"/>
        </w:trPr>
        <w:tc>
          <w:tcPr>
            <w:cnfStyle w:val="001000000000" w:firstRow="0" w:lastRow="0" w:firstColumn="1" w:lastColumn="0" w:oddVBand="0" w:evenVBand="0" w:oddHBand="0" w:evenHBand="0" w:firstRowFirstColumn="0" w:firstRowLastColumn="0" w:lastRowFirstColumn="0" w:lastRowLastColumn="0"/>
            <w:tcW w:w="1165" w:type="dxa"/>
          </w:tcPr>
          <w:p w14:paraId="7C6A2D02" w14:textId="06983B85" w:rsidR="00A0481E" w:rsidRPr="00EB4D3A" w:rsidRDefault="00AC794D" w:rsidP="00EB4D3A">
            <w:pPr>
              <w:pStyle w:val="ListParagraph"/>
              <w:tabs>
                <w:tab w:val="left" w:pos="325"/>
              </w:tabs>
              <w:spacing w:line="216" w:lineRule="auto"/>
              <w:ind w:left="0"/>
              <w:jc w:val="center"/>
              <w:rPr>
                <w:color w:val="auto"/>
                <w:sz w:val="19"/>
                <w:szCs w:val="19"/>
              </w:rPr>
            </w:pPr>
            <w:r w:rsidRPr="00EB4D3A">
              <w:rPr>
                <w:rFonts w:ascii="Segoe UI Symbol" w:eastAsia="Segoe UI Symbol" w:hAnsi="Segoe UI Symbol"/>
                <w:sz w:val="19"/>
                <w:szCs w:val="19"/>
                <w:lang w:eastAsia="ja-JP"/>
              </w:rPr>
              <w:t>◯</w:t>
            </w:r>
          </w:p>
        </w:tc>
        <w:tc>
          <w:tcPr>
            <w:tcW w:w="1800" w:type="dxa"/>
          </w:tcPr>
          <w:p w14:paraId="104DA0D6" w14:textId="77777777" w:rsidR="00A0481E" w:rsidRPr="00EB4D3A" w:rsidRDefault="00A0481E" w:rsidP="00EB4D3A">
            <w:pPr>
              <w:spacing w:line="216" w:lineRule="auto"/>
              <w:ind w:left="65" w:right="160"/>
              <w:jc w:val="left"/>
              <w:cnfStyle w:val="000000000000" w:firstRow="0" w:lastRow="0" w:firstColumn="0" w:lastColumn="0" w:oddVBand="0" w:evenVBand="0" w:oddHBand="0" w:evenHBand="0" w:firstRowFirstColumn="0" w:firstRowLastColumn="0" w:lastRowFirstColumn="0" w:lastRowLastColumn="0"/>
              <w:rPr>
                <w:color w:val="auto"/>
                <w:sz w:val="19"/>
                <w:szCs w:val="19"/>
              </w:rPr>
            </w:pPr>
            <w:r w:rsidRPr="00EB4D3A">
              <w:rPr>
                <w:sz w:val="19"/>
                <w:szCs w:val="19"/>
              </w:rPr>
              <w:t>Outside Group (The Recycling Partnership, Closed Loop, etc.) Financing</w:t>
            </w:r>
          </w:p>
        </w:tc>
        <w:tc>
          <w:tcPr>
            <w:tcW w:w="7127" w:type="dxa"/>
          </w:tcPr>
          <w:p w14:paraId="0D1FF601" w14:textId="27CACCCF" w:rsidR="00A0481E" w:rsidRPr="00EB4D3A" w:rsidRDefault="0049748B" w:rsidP="00EB4D3A">
            <w:pPr>
              <w:spacing w:line="216" w:lineRule="auto"/>
              <w:jc w:val="left"/>
              <w:cnfStyle w:val="000000000000" w:firstRow="0" w:lastRow="0" w:firstColumn="0" w:lastColumn="0" w:oddVBand="0" w:evenVBand="0" w:oddHBand="0" w:evenHBand="0" w:firstRowFirstColumn="0" w:firstRowLastColumn="0" w:lastRowFirstColumn="0" w:lastRowLastColumn="0"/>
              <w:rPr>
                <w:b/>
                <w:bCs/>
                <w:color w:val="auto"/>
                <w:sz w:val="19"/>
                <w:szCs w:val="19"/>
              </w:rPr>
            </w:pPr>
            <w:r w:rsidRPr="00EB4D3A">
              <w:rPr>
                <w:sz w:val="19"/>
                <w:szCs w:val="19"/>
              </w:rPr>
              <w:t>No outside financing or funding partnerships were identified</w:t>
            </w:r>
            <w:r w:rsidRPr="00EB4D3A">
              <w:rPr>
                <w:color w:val="auto"/>
                <w:sz w:val="19"/>
                <w:szCs w:val="19"/>
              </w:rPr>
              <w:t>.</w:t>
            </w:r>
          </w:p>
        </w:tc>
      </w:tr>
    </w:tbl>
    <w:p w14:paraId="1FAB0D7F" w14:textId="77777777" w:rsidR="006C3D5A" w:rsidRDefault="006C3D5A" w:rsidP="00530CF3"/>
    <w:p w14:paraId="7DDE0712" w14:textId="77777777" w:rsidR="002D3570" w:rsidRDefault="002D3570" w:rsidP="00530CF3"/>
    <w:p w14:paraId="3C7EF04C" w14:textId="77777777" w:rsidR="002D3570" w:rsidRDefault="002D3570">
      <w:pPr>
        <w:spacing w:line="240" w:lineRule="auto"/>
        <w:jc w:val="left"/>
      </w:pPr>
      <w:r>
        <w:br w:type="page"/>
      </w:r>
    </w:p>
    <w:p w14:paraId="24477802" w14:textId="05E07A37" w:rsidR="00415D3A" w:rsidRPr="006E19A0" w:rsidRDefault="00415D3A" w:rsidP="00EC5A2E">
      <w:pPr>
        <w:pStyle w:val="Heading1"/>
      </w:pPr>
      <w:bookmarkStart w:id="91" w:name="_Toc117001059"/>
      <w:r w:rsidRPr="006E19A0">
        <w:t>Conclusions</w:t>
      </w:r>
      <w:bookmarkEnd w:id="91"/>
    </w:p>
    <w:p w14:paraId="64D3B5DF" w14:textId="43CF7659" w:rsidR="00415D3A" w:rsidRDefault="00415D3A" w:rsidP="00415D3A">
      <w:pPr>
        <w:rPr>
          <w:lang w:val="en-CA"/>
        </w:rPr>
      </w:pPr>
      <w:r w:rsidRPr="006E19A0">
        <w:t>Throughout the Northeast</w:t>
      </w:r>
      <w:r w:rsidR="0009E37B">
        <w:t>,</w:t>
      </w:r>
      <w:r w:rsidRPr="006E19A0">
        <w:t xml:space="preserve"> disposal capacity is limited. Connecticut faces</w:t>
      </w:r>
      <w:r w:rsidR="2011877E">
        <w:t xml:space="preserve"> </w:t>
      </w:r>
      <w:r w:rsidR="50ABF5A2">
        <w:t>a</w:t>
      </w:r>
      <w:r w:rsidRPr="006E19A0">
        <w:t xml:space="preserve"> significant shortfall of in-state disposal capacity with the closure of the Materials Innovation and Recycling Authority (MIRA) WTE facility in Hartford. Dwindling disposal capacity has weakened the resiliency of Connecticut waste disposal infrastructure. </w:t>
      </w:r>
      <w:r w:rsidRPr="006E19A0">
        <w:rPr>
          <w:lang w:val="en-CA"/>
        </w:rPr>
        <w:t xml:space="preserve">In lieu of this, those charged with managing waste will be required to access disposal or processing options out-of-state as an alternative, which is likely to become an </w:t>
      </w:r>
      <w:r w:rsidR="2011877E" w:rsidRPr="09C4663C">
        <w:rPr>
          <w:lang w:val="en-CA"/>
        </w:rPr>
        <w:t>increasing</w:t>
      </w:r>
      <w:r w:rsidR="749CCACB" w:rsidRPr="09C4663C">
        <w:rPr>
          <w:lang w:val="en-CA"/>
        </w:rPr>
        <w:t>ly</w:t>
      </w:r>
      <w:r w:rsidRPr="006E19A0">
        <w:rPr>
          <w:lang w:val="en-CA"/>
        </w:rPr>
        <w:t xml:space="preserve"> costly, unsustainable solution as other northeastern states will also seek to pursue increasingly aggressive diversion mandates.</w:t>
      </w:r>
    </w:p>
    <w:p w14:paraId="28F5215A" w14:textId="77777777" w:rsidR="00415D3A" w:rsidRPr="006E19A0" w:rsidRDefault="00415D3A" w:rsidP="00415D3A"/>
    <w:p w14:paraId="5F0D3E67" w14:textId="77777777" w:rsidR="00415D3A" w:rsidRDefault="00415D3A" w:rsidP="00415D3A">
      <w:r w:rsidRPr="006E19A0">
        <w:t>According to the 2015 Connecticut Statewide Waste Characterization Study</w:t>
      </w:r>
      <w:r w:rsidRPr="006E19A0">
        <w:rPr>
          <w:vertAlign w:val="superscript"/>
        </w:rPr>
        <w:footnoteReference w:id="20"/>
      </w:r>
      <w:r w:rsidRPr="006E19A0">
        <w:t>, about 410,000 tons (18%) of recyclable materials remains in the state solid waste disposal stream. Over 925,000 tons (40%) of the state solid waste stream is organics, including food waste, yard waste, and compostable papers. Nearly 58% of the state solid waste stream could be recycled or composted.</w:t>
      </w:r>
    </w:p>
    <w:p w14:paraId="1A1FE4EA" w14:textId="77777777" w:rsidR="00415D3A" w:rsidRPr="006E19A0" w:rsidRDefault="00415D3A" w:rsidP="00415D3A"/>
    <w:p w14:paraId="549DA346" w14:textId="61744855" w:rsidR="00415D3A" w:rsidRDefault="000219A8" w:rsidP="00415D3A">
      <w:r>
        <w:t>While the C</w:t>
      </w:r>
      <w:r w:rsidR="00856814">
        <w:t xml:space="preserve">MMS goal of 60% diversion </w:t>
      </w:r>
      <w:r w:rsidR="00F229AB">
        <w:t>is achi</w:t>
      </w:r>
      <w:r w:rsidR="00221985">
        <w:t>e</w:t>
      </w:r>
      <w:r w:rsidR="00F229AB">
        <w:t>vable</w:t>
      </w:r>
      <w:r w:rsidR="0084489E">
        <w:t xml:space="preserve"> by CRCOG members, </w:t>
      </w:r>
      <w:r w:rsidR="6C1DDF91">
        <w:t>it</w:t>
      </w:r>
      <w:r w:rsidR="00415D3A" w:rsidRPr="006E19A0">
        <w:t xml:space="preserve"> is unlikel</w:t>
      </w:r>
      <w:r w:rsidR="00EC1E17">
        <w:t>y to</w:t>
      </w:r>
      <w:r w:rsidR="00415D3A" w:rsidRPr="006E19A0">
        <w:t xml:space="preserve"> be reached by CRCOG or the state by 2024. It is more practical for CRCOG, and the state, to put in place the plans and implementation of components for diversion infrastructure and programming, long-term contracting structures, as well as intergovernmental cooperation. CRCOG will need to adopt achievable milestones as part of their short-term planning efforts. </w:t>
      </w:r>
    </w:p>
    <w:p w14:paraId="3E8D8C19" w14:textId="77777777" w:rsidR="00415D3A" w:rsidRDefault="00415D3A" w:rsidP="00415D3A"/>
    <w:p w14:paraId="7BCB2C22" w14:textId="090AF763" w:rsidR="007C3502" w:rsidRPr="006845CF" w:rsidRDefault="007C3502" w:rsidP="007C3502">
      <w:pPr>
        <w:pStyle w:val="Subtitle"/>
      </w:pPr>
      <w:bookmarkStart w:id="92" w:name="_Toc117000337"/>
      <w:bookmarkStart w:id="93" w:name="_Toc117001060"/>
      <w:r w:rsidRPr="006845CF">
        <w:t>Task One Key Findings</w:t>
      </w:r>
      <w:bookmarkEnd w:id="92"/>
      <w:bookmarkEnd w:id="93"/>
    </w:p>
    <w:p w14:paraId="3C690AAA" w14:textId="26C2734D" w:rsidR="007C3502" w:rsidRPr="006845CF" w:rsidRDefault="007C3502" w:rsidP="007C3502">
      <w:pPr>
        <w:pStyle w:val="Subtitle2"/>
      </w:pPr>
      <w:r w:rsidRPr="006845CF">
        <w:t xml:space="preserve">disposal Facility </w:t>
      </w:r>
      <w:r w:rsidR="1F702868">
        <w:t>Inventory</w:t>
      </w:r>
      <w:r w:rsidRPr="006845CF">
        <w:t xml:space="preserve"> &amp; assessment</w:t>
      </w:r>
    </w:p>
    <w:p w14:paraId="24CAEE68" w14:textId="744D1468" w:rsidR="007C3502" w:rsidRDefault="007C3502" w:rsidP="007C3502">
      <w:pPr>
        <w:pStyle w:val="ListParagraph"/>
        <w:numPr>
          <w:ilvl w:val="0"/>
          <w:numId w:val="27"/>
        </w:numPr>
      </w:pPr>
      <w:r>
        <w:t xml:space="preserve">An alternative waste generation figure of </w:t>
      </w:r>
      <w:r w:rsidR="71CA180B">
        <w:t>737,323</w:t>
      </w:r>
      <w:r>
        <w:t xml:space="preserve"> TPY or </w:t>
      </w:r>
      <w:r w:rsidRPr="0085729A">
        <w:t>2,</w:t>
      </w:r>
      <w:r w:rsidR="7DA1CF65">
        <w:t>020</w:t>
      </w:r>
      <w:r w:rsidRPr="0085729A">
        <w:t xml:space="preserve"> TPD</w:t>
      </w:r>
      <w:r>
        <w:t xml:space="preserve"> was calculated for disposal planning purposes.</w:t>
      </w:r>
    </w:p>
    <w:p w14:paraId="1828CCAC" w14:textId="4F3C7728" w:rsidR="007C3502" w:rsidRDefault="007C3502" w:rsidP="007C3502">
      <w:pPr>
        <w:pStyle w:val="ListParagraph"/>
        <w:numPr>
          <w:ilvl w:val="0"/>
          <w:numId w:val="27"/>
        </w:numPr>
      </w:pPr>
      <w:r>
        <w:t>There is virtually no landfill disposal capacity identified within 100 miles of CRCOG. Between 100 miles and 150 miles</w:t>
      </w:r>
      <w:r w:rsidR="239A55D9">
        <w:t>,</w:t>
      </w:r>
      <w:r>
        <w:t xml:space="preserve"> minor airspace capacity is available that may serve small communities of limited waste streams, for example C&amp;D debris.</w:t>
      </w:r>
      <w:r w:rsidR="007035F7">
        <w:t xml:space="preserve"> </w:t>
      </w:r>
      <w:r w:rsidR="007035F7" w:rsidRPr="1E721FB5">
        <w:rPr>
          <w:szCs w:val="20"/>
        </w:rPr>
        <w:t>It was determined that there is approximately 74,000 tons per day (TPD) of available landfill waste capacity in a 350-mile radius from CRCOG</w:t>
      </w:r>
    </w:p>
    <w:p w14:paraId="7040A17F" w14:textId="32509F07" w:rsidR="007C3502" w:rsidRDefault="007C3502" w:rsidP="007C3502">
      <w:pPr>
        <w:pStyle w:val="ListParagraph"/>
        <w:numPr>
          <w:ilvl w:val="0"/>
          <w:numId w:val="27"/>
        </w:numPr>
      </w:pPr>
      <w:r>
        <w:t xml:space="preserve">There </w:t>
      </w:r>
      <w:r w:rsidR="008541A2">
        <w:t>are 37 waste</w:t>
      </w:r>
      <w:r w:rsidR="5387EEF1">
        <w:t>-</w:t>
      </w:r>
      <w:r w:rsidR="008541A2">
        <w:t>to</w:t>
      </w:r>
      <w:r w:rsidR="6746B15E">
        <w:t>-</w:t>
      </w:r>
      <w:r w:rsidR="008541A2">
        <w:t>energy facili</w:t>
      </w:r>
      <w:r w:rsidR="003B109B">
        <w:t xml:space="preserve">ties with </w:t>
      </w:r>
      <w:r>
        <w:t xml:space="preserve">approximately 3,450 TPD of </w:t>
      </w:r>
      <w:r w:rsidR="003B109B">
        <w:t xml:space="preserve">combined </w:t>
      </w:r>
      <w:r>
        <w:t>available WTE capacity in a 350</w:t>
      </w:r>
      <w:r w:rsidR="797777E1">
        <w:t>-</w:t>
      </w:r>
      <w:r>
        <w:t>mile radius.</w:t>
      </w:r>
    </w:p>
    <w:p w14:paraId="7A807C1F" w14:textId="57EF080A" w:rsidR="007C3502" w:rsidRDefault="007C3502" w:rsidP="007C3502">
      <w:pPr>
        <w:pStyle w:val="ListParagraph"/>
        <w:numPr>
          <w:ilvl w:val="0"/>
          <w:numId w:val="27"/>
        </w:numPr>
      </w:pPr>
      <w:r w:rsidRPr="00D33CCD">
        <w:t>Transfer station capacity within 50 miles of CRCOG is lacking with only 1</w:t>
      </w:r>
      <w:r w:rsidR="008A1797">
        <w:t>,</w:t>
      </w:r>
      <w:r w:rsidRPr="00D33CCD">
        <w:t>650 TPD available transfer waste capacity from 192 facilities with a median value of 8.6 TPD capacity per facility.</w:t>
      </w:r>
      <w:r w:rsidR="006A3FA8">
        <w:rPr>
          <w:rStyle w:val="FootnoteReference"/>
        </w:rPr>
        <w:footnoteReference w:id="21"/>
      </w:r>
      <w:r w:rsidRPr="00D33CCD">
        <w:t xml:space="preserve"> Tetra Tech considers this a ‘paper capacity’ indicating that the region is lacking transfer station capacity.</w:t>
      </w:r>
    </w:p>
    <w:p w14:paraId="2E269C30" w14:textId="77777777" w:rsidR="007C3502" w:rsidRDefault="007C3502" w:rsidP="007C3502">
      <w:pPr>
        <w:pStyle w:val="Subtitle2"/>
      </w:pPr>
      <w:r>
        <w:t>organics facility inventory</w:t>
      </w:r>
    </w:p>
    <w:p w14:paraId="2845FE5F" w14:textId="77777777" w:rsidR="00FD2067" w:rsidRDefault="007C3502" w:rsidP="00FD2067">
      <w:pPr>
        <w:pStyle w:val="ListParagraph"/>
        <w:numPr>
          <w:ilvl w:val="0"/>
          <w:numId w:val="29"/>
        </w:numPr>
      </w:pPr>
      <w:r>
        <w:t xml:space="preserve">Excess </w:t>
      </w:r>
      <w:r w:rsidR="00DE6CF4">
        <w:t xml:space="preserve">organics management </w:t>
      </w:r>
      <w:r>
        <w:t xml:space="preserve">capacity is available to increase residential and commercial food waste collection. </w:t>
      </w:r>
      <w:r w:rsidR="00FD2067">
        <w:t>As an example, Quantum’s Southington anaerobic digestion facility currently is permitted to process more than 90,000 tons per year; however, built capacity is approximately 40,000 tons per year and estimated available built capacity is greater than 10,000 tons per year.</w:t>
      </w:r>
    </w:p>
    <w:p w14:paraId="07E9253C" w14:textId="77777777" w:rsidR="007C3502" w:rsidRDefault="2A956528" w:rsidP="007C3502">
      <w:pPr>
        <w:pStyle w:val="ListParagraph"/>
        <w:numPr>
          <w:ilvl w:val="0"/>
          <w:numId w:val="29"/>
        </w:numPr>
      </w:pPr>
      <w:r>
        <w:t xml:space="preserve">Additional built capacity and/or pretreatment technologies will be needed to ensure nearby processing if food waste is to be collected at scale from residential and commercial sources. </w:t>
      </w:r>
    </w:p>
    <w:p w14:paraId="16461B3B" w14:textId="639E1D33" w:rsidR="007C3502" w:rsidRDefault="2A956528" w:rsidP="007C3502">
      <w:pPr>
        <w:pStyle w:val="ListParagraph"/>
        <w:numPr>
          <w:ilvl w:val="0"/>
          <w:numId w:val="29"/>
        </w:numPr>
      </w:pPr>
      <w:r>
        <w:t xml:space="preserve">Need for additional yard waste capacity is unknown at this time and may depend on whether composting facilities are needed to process digestate as well as interest and ability to capture the estimated 25k </w:t>
      </w:r>
      <w:r w:rsidR="3854FF0B">
        <w:t>TPY of</w:t>
      </w:r>
      <w:r>
        <w:t xml:space="preserve"> leaves, grass and trimmings discarded by the residential sector.</w:t>
      </w:r>
    </w:p>
    <w:p w14:paraId="1A8F7543" w14:textId="77777777" w:rsidR="007C3502" w:rsidRDefault="2A956528" w:rsidP="007C3502">
      <w:pPr>
        <w:pStyle w:val="ListParagraph"/>
        <w:numPr>
          <w:ilvl w:val="0"/>
          <w:numId w:val="29"/>
        </w:numPr>
      </w:pPr>
      <w:r>
        <w:t>No composting facilities that process commingled food and yard waste were identified. This is important as it informs residential collection opportunities.</w:t>
      </w:r>
    </w:p>
    <w:p w14:paraId="61FF23E8" w14:textId="77777777" w:rsidR="007C3502" w:rsidRDefault="007C3502" w:rsidP="007C3502">
      <w:pPr>
        <w:pStyle w:val="ListParagraph"/>
      </w:pPr>
    </w:p>
    <w:p w14:paraId="14115F2A" w14:textId="77777777" w:rsidR="007C3502" w:rsidRDefault="007C3502" w:rsidP="007C3502">
      <w:pPr>
        <w:pStyle w:val="Subtitle2"/>
      </w:pPr>
      <w:r>
        <w:t>Recycling facility inventory</w:t>
      </w:r>
    </w:p>
    <w:p w14:paraId="797C869A" w14:textId="77777777" w:rsidR="007C3502" w:rsidRDefault="007C3502" w:rsidP="007C3502">
      <w:pPr>
        <w:pStyle w:val="ListParagraph"/>
        <w:numPr>
          <w:ilvl w:val="0"/>
          <w:numId w:val="32"/>
        </w:numPr>
      </w:pPr>
      <w:r>
        <w:t>MRF capacity is sufficient to allow for continued growth of recycling programs given upgrades underway at AMH’s Berlin MRF and Casella’s Willimantic Facility.</w:t>
      </w:r>
    </w:p>
    <w:p w14:paraId="3944B290" w14:textId="77777777" w:rsidR="007C3502" w:rsidRDefault="007C3502" w:rsidP="007C3502">
      <w:pPr>
        <w:pStyle w:val="ListParagraph"/>
        <w:numPr>
          <w:ilvl w:val="0"/>
          <w:numId w:val="32"/>
        </w:numPr>
      </w:pPr>
      <w:r>
        <w:t>AMH’s Berlin MRF may be interested in using the closed MIRA MRF for transfer.</w:t>
      </w:r>
    </w:p>
    <w:p w14:paraId="1B831874" w14:textId="77777777" w:rsidR="007C3502" w:rsidRDefault="007C3502" w:rsidP="007C3502"/>
    <w:p w14:paraId="0F4DE153" w14:textId="77777777" w:rsidR="007C3502" w:rsidRDefault="007C3502" w:rsidP="007C3502">
      <w:pPr>
        <w:pStyle w:val="Subtitle2"/>
      </w:pPr>
      <w:r>
        <w:t>Waste diversion Gaps/Opportunities Preliminary Findings</w:t>
      </w:r>
    </w:p>
    <w:p w14:paraId="39C9F60F" w14:textId="77777777" w:rsidR="007C3502" w:rsidRDefault="007C3502" w:rsidP="007C3502">
      <w:pPr>
        <w:pStyle w:val="ListParagraph"/>
        <w:numPr>
          <w:ilvl w:val="0"/>
          <w:numId w:val="36"/>
        </w:numPr>
      </w:pPr>
      <w:r>
        <w:t xml:space="preserve">Volumes of recyclables collected from households were below the national average for single family homes and ~170 lbs. per household lower than high performing programs for single family homes. </w:t>
      </w:r>
    </w:p>
    <w:p w14:paraId="13F16D2D" w14:textId="77777777" w:rsidR="007C3502" w:rsidRDefault="007C3502" w:rsidP="007C3502">
      <w:pPr>
        <w:pStyle w:val="ListParagraph"/>
        <w:numPr>
          <w:ilvl w:val="0"/>
          <w:numId w:val="36"/>
        </w:numPr>
      </w:pPr>
      <w:r>
        <w:t>Food waste collection from both residential and commercial sectors is minimal.</w:t>
      </w:r>
    </w:p>
    <w:p w14:paraId="2FF61504" w14:textId="77777777" w:rsidR="007C3502" w:rsidRDefault="007C3502" w:rsidP="007C3502">
      <w:pPr>
        <w:pStyle w:val="ListParagraph"/>
        <w:numPr>
          <w:ilvl w:val="0"/>
          <w:numId w:val="36"/>
        </w:numPr>
      </w:pPr>
      <w:r>
        <w:t>Opportunities exist for both technical assistance, outreach, and enforcement for commercial and multifamily sectors.</w:t>
      </w:r>
    </w:p>
    <w:p w14:paraId="0E9100BD" w14:textId="77777777" w:rsidR="007C3502" w:rsidRDefault="007C3502" w:rsidP="007C3502">
      <w:pPr>
        <w:pStyle w:val="ListParagraph"/>
        <w:numPr>
          <w:ilvl w:val="0"/>
          <w:numId w:val="36"/>
        </w:numPr>
      </w:pPr>
      <w:r>
        <w:t>Recycling access generally is strong but could be improved through converting subscription programs to automatic collection and potentially optimizing drop off programs.</w:t>
      </w:r>
    </w:p>
    <w:p w14:paraId="6BD614AB" w14:textId="08B7F0FE" w:rsidR="007C3502" w:rsidRDefault="007C3502" w:rsidP="007C3502">
      <w:pPr>
        <w:pStyle w:val="ListParagraph"/>
        <w:numPr>
          <w:ilvl w:val="0"/>
          <w:numId w:val="36"/>
        </w:numPr>
      </w:pPr>
      <w:r>
        <w:t>CRCOG can enhance its efforts by pursuing public</w:t>
      </w:r>
      <w:r w:rsidR="37B111F4">
        <w:t>-</w:t>
      </w:r>
      <w:r>
        <w:t>private partnerships to maximize its impact.</w:t>
      </w:r>
    </w:p>
    <w:p w14:paraId="0EE3E54D" w14:textId="77777777" w:rsidR="007C3502" w:rsidRDefault="007C3502" w:rsidP="007C3502"/>
    <w:p w14:paraId="57E07424" w14:textId="001E5445" w:rsidR="007C3502" w:rsidRDefault="007C3502" w:rsidP="007C3502">
      <w:pPr>
        <w:pStyle w:val="Subtitle2"/>
      </w:pPr>
      <w:r>
        <w:t>Preliminary Findings Relevant to unit</w:t>
      </w:r>
      <w:r w:rsidR="7FE91918">
        <w:t>-</w:t>
      </w:r>
      <w:r>
        <w:t xml:space="preserve">based </w:t>
      </w:r>
      <w:r w:rsidR="313EDFB5">
        <w:t xml:space="preserve">(PAY-AS-You-THROW) </w:t>
      </w:r>
      <w:r>
        <w:t>Pricing</w:t>
      </w:r>
    </w:p>
    <w:p w14:paraId="58D4799F" w14:textId="75001BB1" w:rsidR="007C3502" w:rsidRDefault="007C3502" w:rsidP="007C3502">
      <w:pPr>
        <w:pStyle w:val="ListParagraph"/>
        <w:numPr>
          <w:ilvl w:val="0"/>
          <w:numId w:val="38"/>
        </w:numPr>
      </w:pPr>
      <w:r>
        <w:t>Median cost for communities with unit-based pricing was $200 per year trash and recycling collection and disposal/processing services.</w:t>
      </w:r>
    </w:p>
    <w:p w14:paraId="6A4A9BDB" w14:textId="4BA08289" w:rsidR="007C3502" w:rsidRDefault="007C3502" w:rsidP="007C3502">
      <w:pPr>
        <w:pStyle w:val="ListParagraph"/>
        <w:numPr>
          <w:ilvl w:val="0"/>
          <w:numId w:val="38"/>
        </w:numPr>
      </w:pPr>
      <w:r>
        <w:t>Majority of communities utilize carts for curbside collection of trash and recycling.</w:t>
      </w:r>
    </w:p>
    <w:p w14:paraId="4B4A0B42" w14:textId="77777777" w:rsidR="007C3502" w:rsidRDefault="007C3502" w:rsidP="007C3502">
      <w:pPr>
        <w:pStyle w:val="ListParagraph"/>
        <w:numPr>
          <w:ilvl w:val="0"/>
          <w:numId w:val="38"/>
        </w:numPr>
      </w:pPr>
      <w:r>
        <w:t>Majority of households in Hartford live in multi-family housing.</w:t>
      </w:r>
    </w:p>
    <w:p w14:paraId="490AD267" w14:textId="443FD919" w:rsidR="00415D3A" w:rsidRPr="006E19A0" w:rsidRDefault="007C3502" w:rsidP="007513F4">
      <w:pPr>
        <w:pStyle w:val="ListParagraph"/>
        <w:numPr>
          <w:ilvl w:val="0"/>
          <w:numId w:val="39"/>
        </w:numPr>
      </w:pPr>
      <w:r>
        <w:t>There is significant variation in the funding mechanisms being utilized by CRCOG communities to fund waste and recycling programs.</w:t>
      </w:r>
    </w:p>
    <w:p w14:paraId="6E49E79E" w14:textId="77777777" w:rsidR="00415D3A" w:rsidRDefault="00415D3A">
      <w:pPr>
        <w:spacing w:line="240" w:lineRule="auto"/>
        <w:jc w:val="left"/>
        <w:rPr>
          <w:rFonts w:ascii="Georgia" w:hAnsi="Georgia" w:cs="Arial (Body CS)"/>
          <w:b/>
          <w:bCs/>
          <w:spacing w:val="4"/>
          <w:sz w:val="44"/>
          <w:szCs w:val="14"/>
        </w:rPr>
      </w:pPr>
    </w:p>
    <w:p w14:paraId="08A9D2D0" w14:textId="77777777" w:rsidR="008109FB" w:rsidRDefault="008109FB">
      <w:pPr>
        <w:spacing w:line="240" w:lineRule="auto"/>
        <w:jc w:val="left"/>
        <w:rPr>
          <w:rFonts w:ascii="Georgia" w:hAnsi="Georgia" w:cs="Arial (Body CS)"/>
          <w:b/>
          <w:bCs/>
          <w:spacing w:val="4"/>
          <w:sz w:val="44"/>
          <w:szCs w:val="14"/>
        </w:rPr>
      </w:pPr>
      <w:r>
        <w:br w:type="page"/>
      </w:r>
    </w:p>
    <w:p w14:paraId="1F0D4742" w14:textId="0DD85237" w:rsidR="002D3570" w:rsidRDefault="002A50FC" w:rsidP="002D3570">
      <w:pPr>
        <w:pStyle w:val="Heading1"/>
      </w:pPr>
      <w:bookmarkStart w:id="94" w:name="_Toc117001061"/>
      <w:r>
        <w:t xml:space="preserve">Appendix A: </w:t>
      </w:r>
      <w:r w:rsidR="002D3570">
        <w:t>Disposal Infrastructure Inventory and System Assessment</w:t>
      </w:r>
      <w:r w:rsidR="005850A3">
        <w:t xml:space="preserve"> Methodology and Findings</w:t>
      </w:r>
      <w:bookmarkEnd w:id="94"/>
    </w:p>
    <w:p w14:paraId="6909624A" w14:textId="77777777" w:rsidR="008B4416" w:rsidRPr="00EB0826" w:rsidRDefault="008B4416" w:rsidP="008B4416"/>
    <w:p w14:paraId="280C93DD" w14:textId="77777777" w:rsidR="008B4416" w:rsidRDefault="008B4416" w:rsidP="008B4416">
      <w:r>
        <w:t xml:space="preserve">Tetra Tech </w:t>
      </w:r>
      <w:r w:rsidRPr="006E19A0">
        <w:t xml:space="preserve">evaluated waste processing and disposal capacities for present and near future municipal solid waste (MSW) generation in member municipalities of CRCOG. For the evaluation Tetra Tech was provided by RRS a listing of transfer stations (TS), waste-to-energy (WTE) facilities – i.e., waste incinerators, and landfills. Tetra Tech obtained permitted and actual waste management capacities for facilities that could reasonably be serving the CRCOG municipalities. Capacity information was obtained from public records, i.e., permits and statutory waste management reports, as well as industry-standard processing rates when site-specific documentation was not available. </w:t>
      </w:r>
    </w:p>
    <w:p w14:paraId="05915D1B" w14:textId="77777777" w:rsidR="008B4416" w:rsidRPr="00BD2CF1" w:rsidRDefault="008B4416" w:rsidP="008B4416">
      <w:r w:rsidRPr="006E19A0">
        <w:rPr>
          <w:rFonts w:eastAsia="MS Gothic"/>
        </w:rPr>
        <w:t xml:space="preserve"> </w:t>
      </w:r>
    </w:p>
    <w:p w14:paraId="34AD83CA" w14:textId="77777777" w:rsidR="008B4416" w:rsidRDefault="008B4416" w:rsidP="008B4416">
      <w:r w:rsidRPr="006E19A0">
        <w:t>The data analysis included a high-level evaluation of the municipal solid waste management, from generation and processing through to disposal for CRCOG’s 38 member towns implementing a ‘mass balance’ approach. The approach compares the processing capacity of transfer stations to the disposal capacity at landfills and at WTE facilities surrounding CRCOG. The analysis identifies proximal facilities with sufficient capacity to manage the current daily waste generation and to reduce transportation costs.</w:t>
      </w:r>
    </w:p>
    <w:p w14:paraId="7FA5B1F3" w14:textId="77777777" w:rsidR="008B4416" w:rsidRDefault="008B4416" w:rsidP="008B4416"/>
    <w:p w14:paraId="12A8A1C1" w14:textId="77777777" w:rsidR="008B4416" w:rsidRDefault="008B4416" w:rsidP="008B4416">
      <w:r w:rsidRPr="006E19A0">
        <w:t>It was determined that some of the facility capacity numbers were not reliable numbers, therefore these numbers were set to zero for available average daily tonnage permitted or accepted</w:t>
      </w:r>
      <w:r>
        <w:t>.</w:t>
      </w:r>
    </w:p>
    <w:p w14:paraId="6A5220EF" w14:textId="77777777" w:rsidR="008B4416" w:rsidRPr="006E19A0" w:rsidRDefault="008B4416" w:rsidP="008B4416"/>
    <w:p w14:paraId="6BC65706" w14:textId="38DE934E" w:rsidR="008B4416" w:rsidRPr="006E19A0" w:rsidRDefault="008B4416" w:rsidP="008B4416">
      <w:pPr>
        <w:pStyle w:val="Subtitle"/>
      </w:pPr>
      <w:bookmarkStart w:id="95" w:name="_Toc116894387"/>
      <w:bookmarkStart w:id="96" w:name="_Toc117000339"/>
      <w:bookmarkStart w:id="97" w:name="_Toc117001062"/>
      <w:r w:rsidRPr="00AC794D">
        <w:t>Transportation</w:t>
      </w:r>
      <w:bookmarkEnd w:id="95"/>
      <w:bookmarkEnd w:id="96"/>
      <w:bookmarkEnd w:id="97"/>
      <w:r w:rsidRPr="006E19A0">
        <w:t xml:space="preserve"> </w:t>
      </w:r>
    </w:p>
    <w:p w14:paraId="33057818" w14:textId="77777777" w:rsidR="008B4416" w:rsidRDefault="008B4416" w:rsidP="008B4416">
      <w:r w:rsidRPr="006E19A0">
        <w:t>Selection criteria were determined based on the function of the facilities and their distance to CRCOG. For the high-level analysis, Tetra Tech has not determined driving distances, but used ‘as the crow flies’ distances between CRCOG headquarters in Hartford to the various facilities within a radius of up to 350 miles for disposal facilities, i.e., landfills and waste incinerators, and 50 miles for transfer stations. Actual driving distances (i.e., road miles) are expected to be about 30% longer. The distances were chosen based on the following considerations:</w:t>
      </w:r>
    </w:p>
    <w:p w14:paraId="73DCEE62" w14:textId="77777777" w:rsidR="008B4416" w:rsidRPr="006E19A0" w:rsidRDefault="008B4416" w:rsidP="008B4416"/>
    <w:p w14:paraId="7DB2123F" w14:textId="77777777" w:rsidR="008B4416" w:rsidRPr="006E19A0" w:rsidRDefault="008B4416" w:rsidP="008B4416">
      <w:pPr>
        <w:pStyle w:val="ListParagraph"/>
        <w:numPr>
          <w:ilvl w:val="0"/>
          <w:numId w:val="21"/>
        </w:numPr>
      </w:pPr>
      <w:r w:rsidRPr="006E19A0">
        <w:t>Transfer Stations: Economically feasible transport to disposal facilities requires transloading of MSW from municipal collection vehicles to semi-trailer. The 50-mile radius around CRCOG headquarters covers the real extent of the CRCOG member municipalities and their immediate vicinity.</w:t>
      </w:r>
    </w:p>
    <w:p w14:paraId="3372E36A" w14:textId="77777777" w:rsidR="008B4416" w:rsidRPr="00530CF3" w:rsidRDefault="008B4416" w:rsidP="008B4416">
      <w:pPr>
        <w:pStyle w:val="ListParagraph"/>
        <w:numPr>
          <w:ilvl w:val="0"/>
          <w:numId w:val="21"/>
        </w:numPr>
        <w:rPr>
          <w:rFonts w:cs="Arial"/>
          <w:color w:val="000000"/>
          <w:szCs w:val="20"/>
        </w:rPr>
      </w:pPr>
      <w:r w:rsidRPr="006E19A0">
        <w:t>Waste Disposal: Municipal waste from large urban centers is hauled long distance to out-of-state commercial landfills in New York, Pennsylvania, and Ohio. Hauling distances are generally limited to 14 consecutive hours. The 350-mile radius was chosen to allow one roundtrip per truck and driver without triggering the mandatory 10-hour rest period en route.</w:t>
      </w:r>
      <w:r w:rsidRPr="006E19A0">
        <w:br/>
      </w:r>
    </w:p>
    <w:p w14:paraId="598B1BF8" w14:textId="4A5E365F" w:rsidR="008B4416" w:rsidRPr="006E19A0" w:rsidRDefault="008B4416" w:rsidP="008B4416">
      <w:pPr>
        <w:pStyle w:val="Subtitle"/>
      </w:pPr>
      <w:bookmarkStart w:id="98" w:name="_Toc116894388"/>
      <w:bookmarkStart w:id="99" w:name="_Toc117000340"/>
      <w:bookmarkStart w:id="100" w:name="_Toc117001063"/>
      <w:r w:rsidRPr="00AC794D">
        <w:t>Landfills</w:t>
      </w:r>
      <w:bookmarkEnd w:id="98"/>
      <w:bookmarkEnd w:id="99"/>
      <w:bookmarkEnd w:id="100"/>
    </w:p>
    <w:p w14:paraId="48BCD75A" w14:textId="77777777" w:rsidR="008B4416" w:rsidRDefault="008B4416" w:rsidP="008B4416">
      <w:r w:rsidRPr="006E19A0">
        <w:t>Only commercially operating landfills were considered based on the assumption that local government-owned facilities generally reserve airspace for local generators absent long-term contractual commitments with non-local sources. Facilities in New Jersey and Massachusetts were removed from consideration as most facilities in these states are subject to waste flow controls restricting access for imported waste.</w:t>
      </w:r>
    </w:p>
    <w:p w14:paraId="0F9E84DE" w14:textId="77777777" w:rsidR="008B4416" w:rsidRPr="006E19A0" w:rsidRDefault="008B4416" w:rsidP="008B4416"/>
    <w:p w14:paraId="4F5C0513" w14:textId="77777777" w:rsidR="008B4416" w:rsidRDefault="008B4416" w:rsidP="008B4416">
      <w:r w:rsidRPr="006E19A0">
        <w:t xml:space="preserve">Permitted capacity data for considered landfills was compared to the EPA waste acceptance rate data. In the case that a permitted capacity could not be determined, the reported acceptance rate was assumed to be 80% of the permitted capacity. The available disposal capacity was calculated as the difference between the permitted capacity and the waste acceptance rates (in tons per day). Facilities with low waste acceptance rates of less than 20 TPD, and facilities with moderately low waste acceptance rates (less than 40 TPD) that are distanced more than 250 miles from CRCOG were also removed from the analysis as these options are likely not feasible and economic solutions. </w:t>
      </w:r>
    </w:p>
    <w:p w14:paraId="183B8E3C" w14:textId="2B35A32E" w:rsidR="008B4416" w:rsidRDefault="008B4416" w:rsidP="008B4416">
      <w:r>
        <w:br/>
        <w:t>There is v</w:t>
      </w:r>
      <w:r w:rsidRPr="006E19A0">
        <w:t>irtually no disposal capacity was identified within 100 miles of CRCOG. Between 100 miles and 150 miles minor airspace capacity is available that may serve small communities of limited waste streams, e.g., C&amp;D debris.</w:t>
      </w:r>
      <w:r>
        <w:t xml:space="preserve"> </w:t>
      </w:r>
      <w:r w:rsidRPr="006E19A0">
        <w:t>Only at distances greater than 150 miles becomes significant disposal capacity available. Based on the available information the required disposal capacity is available within approximately 160 miles distance from CRCOG.</w:t>
      </w:r>
      <w:r>
        <w:t xml:space="preserve"> Figure </w:t>
      </w:r>
      <w:r w:rsidR="00F80552">
        <w:t>1</w:t>
      </w:r>
      <w:r w:rsidR="00466B00">
        <w:t>2</w:t>
      </w:r>
      <w:r>
        <w:t xml:space="preserve"> shows the landfill capacity data. </w:t>
      </w:r>
    </w:p>
    <w:p w14:paraId="7056B73C" w14:textId="77777777" w:rsidR="00466B00" w:rsidRDefault="00466B00" w:rsidP="00466B00">
      <w:pPr>
        <w:pStyle w:val="Caption"/>
        <w:keepNext/>
      </w:pPr>
    </w:p>
    <w:p w14:paraId="7ED1459A" w14:textId="374ED978" w:rsidR="00466B00" w:rsidRDefault="00466B00" w:rsidP="00466B00">
      <w:pPr>
        <w:pStyle w:val="Caption"/>
        <w:keepNext/>
      </w:pPr>
      <w:r>
        <w:t xml:space="preserve">Figure </w:t>
      </w:r>
      <w:r w:rsidR="00E9026D">
        <w:fldChar w:fldCharType="begin"/>
      </w:r>
      <w:r w:rsidR="00E9026D">
        <w:instrText xml:space="preserve"> SEQ Figure \* ARABIC </w:instrText>
      </w:r>
      <w:r w:rsidR="00E9026D">
        <w:fldChar w:fldCharType="separate"/>
      </w:r>
      <w:r>
        <w:rPr>
          <w:noProof/>
        </w:rPr>
        <w:t>12</w:t>
      </w:r>
      <w:r w:rsidR="00E9026D">
        <w:rPr>
          <w:noProof/>
        </w:rPr>
        <w:fldChar w:fldCharType="end"/>
      </w:r>
      <w:r>
        <w:t xml:space="preserve"> Landfill Capacity Data</w:t>
      </w:r>
    </w:p>
    <w:p w14:paraId="3FCC4F97" w14:textId="100262D5" w:rsidR="008B4416" w:rsidRDefault="008A0453" w:rsidP="008B4416">
      <w:r>
        <w:rPr>
          <w:noProof/>
        </w:rPr>
        <w:drawing>
          <wp:inline distT="0" distB="0" distL="0" distR="0" wp14:anchorId="46963F60" wp14:editId="02D3F4EF">
            <wp:extent cx="6426835" cy="4213860"/>
            <wp:effectExtent l="0" t="0" r="12065" b="15240"/>
            <wp:docPr id="1361581773" name="Chart 13615817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C162BC0" w14:textId="77777777" w:rsidR="008B4416" w:rsidRDefault="008B4416" w:rsidP="008B4416"/>
    <w:p w14:paraId="19991AB3" w14:textId="77777777" w:rsidR="008B4416" w:rsidRPr="006E19A0" w:rsidRDefault="008B4416" w:rsidP="008B4416"/>
    <w:p w14:paraId="1ED7B899" w14:textId="77777777" w:rsidR="008109FB" w:rsidRDefault="008109FB">
      <w:pPr>
        <w:spacing w:line="240" w:lineRule="auto"/>
        <w:jc w:val="left"/>
        <w:rPr>
          <w:rFonts w:ascii="Georgia" w:eastAsiaTheme="majorEastAsia" w:hAnsi="Georgia" w:cstheme="majorBidi"/>
          <w:color w:val="1D666E" w:themeColor="accent1"/>
          <w:sz w:val="32"/>
          <w:szCs w:val="32"/>
        </w:rPr>
      </w:pPr>
      <w:bookmarkStart w:id="101" w:name="_Toc116894389"/>
      <w:r>
        <w:br w:type="page"/>
      </w:r>
    </w:p>
    <w:p w14:paraId="21A2167A" w14:textId="151CC24E" w:rsidR="008B4416" w:rsidRPr="006E19A0" w:rsidRDefault="008B4416" w:rsidP="008B4416">
      <w:pPr>
        <w:pStyle w:val="Subtitle"/>
      </w:pPr>
      <w:bookmarkStart w:id="102" w:name="_Toc117000341"/>
      <w:bookmarkStart w:id="103" w:name="_Toc117001064"/>
      <w:r w:rsidRPr="006E19A0">
        <w:t>Waste-to-Energy</w:t>
      </w:r>
      <w:r>
        <w:t xml:space="preserve"> Facilities</w:t>
      </w:r>
      <w:bookmarkEnd w:id="101"/>
      <w:bookmarkEnd w:id="102"/>
      <w:bookmarkEnd w:id="103"/>
      <w:r>
        <w:t xml:space="preserve"> </w:t>
      </w:r>
    </w:p>
    <w:p w14:paraId="62450ACE" w14:textId="77777777" w:rsidR="008B4416" w:rsidRDefault="008B4416" w:rsidP="008B4416">
      <w:r w:rsidRPr="006E19A0">
        <w:t xml:space="preserve">A similar analysis was conducted for the </w:t>
      </w:r>
      <w:r>
        <w:t>waste-to-energy (</w:t>
      </w:r>
      <w:r w:rsidRPr="006E19A0">
        <w:t>WTE</w:t>
      </w:r>
      <w:r>
        <w:t>)</w:t>
      </w:r>
      <w:r w:rsidRPr="006E19A0">
        <w:t xml:space="preserve"> facilities. For facilities that waste acceptance rate data was unavailable for, it was assumed the waste acceptance rates were 90% of the permitted capacity. It was determined that there is approximately 4,600 TPD of available WTE waste capacity in a 350-mile radius from CRCOG. This number is further reduced by 25% due to the residue byproduct of waste incineration that still has to be disposed of, leaving approximately 3,450 TPD of available capacity.</w:t>
      </w:r>
      <w:r>
        <w:t xml:space="preserve">   </w:t>
      </w:r>
    </w:p>
    <w:p w14:paraId="0DBC5B6D" w14:textId="77777777" w:rsidR="008B4416" w:rsidRDefault="008B4416" w:rsidP="008B4416">
      <w:r>
        <w:rPr>
          <w:rFonts w:ascii="Georgia" w:eastAsia="MS Gothic" w:hAnsi="Georgia" w:cs="Times New Roman"/>
          <w:b/>
          <w:caps/>
          <w:color w:val="3A3737" w:themeColor="text1"/>
          <w:spacing w:val="12"/>
          <w:sz w:val="21"/>
          <w:szCs w:val="21"/>
        </w:rPr>
        <w:br/>
      </w:r>
      <w:r w:rsidRPr="006E19A0">
        <w:rPr>
          <w:color w:val="auto"/>
        </w:rPr>
        <w:t>T</w:t>
      </w:r>
      <w:r w:rsidRPr="006E19A0">
        <w:t>here is approximately 4,600 TPD of available WTE waste capacity in a 350-mile radius from CRCOG.</w:t>
      </w:r>
    </w:p>
    <w:p w14:paraId="0E0C2F3B" w14:textId="77777777" w:rsidR="008B4416" w:rsidRDefault="008B4416" w:rsidP="008B4416">
      <w:r w:rsidRPr="006E19A0">
        <w:t xml:space="preserve">Approximately 2,660 TDP of incinerator capacity becomes available at a distance greater than approximately 125 miles from CRCOG, equivalent to 80% of the CRCOG average daily waste </w:t>
      </w:r>
    </w:p>
    <w:p w14:paraId="047C9A9E" w14:textId="387BD38C" w:rsidR="008B4416" w:rsidRDefault="008B4416" w:rsidP="008B4416">
      <w:r w:rsidRPr="006E19A0">
        <w:t xml:space="preserve">generation. Ash disposal by the WTE facility is likely to compete with landfilling. However, ash disposal is the responsibility of the WTE facility operator and represents less than 25% of the MSW. Figure </w:t>
      </w:r>
      <w:r>
        <w:t>1</w:t>
      </w:r>
      <w:r w:rsidR="00466B00">
        <w:t>3</w:t>
      </w:r>
      <w:r w:rsidRPr="006E19A0">
        <w:t xml:space="preserve"> </w:t>
      </w:r>
    </w:p>
    <w:p w14:paraId="3B444B02" w14:textId="77777777" w:rsidR="008B4416" w:rsidRPr="006E19A0" w:rsidRDefault="008B4416" w:rsidP="008B4416">
      <w:r w:rsidRPr="006E19A0">
        <w:t>shows the WTE capacity and distance from CRCOG.</w:t>
      </w:r>
    </w:p>
    <w:p w14:paraId="45FE5AA0" w14:textId="77777777" w:rsidR="008B4416" w:rsidRDefault="008B4416" w:rsidP="008B4416"/>
    <w:p w14:paraId="14F7471F" w14:textId="51378248" w:rsidR="00466B00" w:rsidRDefault="00466B00" w:rsidP="00466B00">
      <w:pPr>
        <w:pStyle w:val="Caption"/>
        <w:keepNext/>
      </w:pPr>
      <w:bookmarkStart w:id="104" w:name="_Toc116992593"/>
      <w:r>
        <w:t xml:space="preserve">Figure </w:t>
      </w:r>
      <w:r w:rsidR="00E9026D">
        <w:fldChar w:fldCharType="begin"/>
      </w:r>
      <w:r w:rsidR="00E9026D">
        <w:instrText xml:space="preserve"> SEQ Figure \* ARABIC </w:instrText>
      </w:r>
      <w:r w:rsidR="00E9026D">
        <w:fldChar w:fldCharType="separate"/>
      </w:r>
      <w:r>
        <w:rPr>
          <w:noProof/>
        </w:rPr>
        <w:t>13</w:t>
      </w:r>
      <w:r w:rsidR="00E9026D">
        <w:rPr>
          <w:noProof/>
        </w:rPr>
        <w:fldChar w:fldCharType="end"/>
      </w:r>
      <w:r>
        <w:t xml:space="preserve"> 2019 Cumulative Waste-to-Energy Capacity vs. Distance</w:t>
      </w:r>
      <w:bookmarkEnd w:id="104"/>
    </w:p>
    <w:p w14:paraId="49E7903B" w14:textId="6A30776D" w:rsidR="008B4416" w:rsidRPr="006E19A0" w:rsidRDefault="00F80552" w:rsidP="008B4416">
      <w:r>
        <w:rPr>
          <w:noProof/>
        </w:rPr>
        <w:drawing>
          <wp:inline distT="0" distB="0" distL="0" distR="0" wp14:anchorId="6062748D" wp14:editId="56EC53D1">
            <wp:extent cx="6400800" cy="4134485"/>
            <wp:effectExtent l="0" t="0" r="0" b="18415"/>
            <wp:docPr id="1361581778" name="Chart 13615817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D6E9A81" w14:textId="77777777" w:rsidR="00F80552" w:rsidRDefault="00F80552" w:rsidP="008B4416">
      <w:pPr>
        <w:pStyle w:val="Subtitle"/>
      </w:pPr>
      <w:bookmarkStart w:id="105" w:name="_Toc116894390"/>
    </w:p>
    <w:p w14:paraId="190F66A2" w14:textId="77777777" w:rsidR="008109FB" w:rsidRDefault="008109FB">
      <w:pPr>
        <w:spacing w:line="240" w:lineRule="auto"/>
        <w:jc w:val="left"/>
        <w:rPr>
          <w:rFonts w:ascii="Georgia" w:eastAsiaTheme="majorEastAsia" w:hAnsi="Georgia" w:cstheme="majorBidi"/>
          <w:color w:val="1D666E" w:themeColor="accent1"/>
          <w:sz w:val="32"/>
          <w:szCs w:val="32"/>
        </w:rPr>
      </w:pPr>
      <w:r>
        <w:br w:type="page"/>
      </w:r>
    </w:p>
    <w:p w14:paraId="5394F4AF" w14:textId="106B5F62" w:rsidR="008B4416" w:rsidRPr="006E19A0" w:rsidRDefault="008B4416" w:rsidP="008B4416">
      <w:pPr>
        <w:pStyle w:val="Subtitle"/>
      </w:pPr>
      <w:bookmarkStart w:id="106" w:name="_Toc117000342"/>
      <w:bookmarkStart w:id="107" w:name="_Toc117001065"/>
      <w:r w:rsidRPr="006E19A0">
        <w:t xml:space="preserve">Transfer </w:t>
      </w:r>
      <w:r w:rsidRPr="00AC794D">
        <w:t>Stations</w:t>
      </w:r>
      <w:bookmarkEnd w:id="105"/>
      <w:bookmarkEnd w:id="106"/>
      <w:bookmarkEnd w:id="107"/>
    </w:p>
    <w:p w14:paraId="147BC1D5" w14:textId="016F7A34" w:rsidR="008B4416" w:rsidRDefault="008B4416" w:rsidP="008B4416">
      <w:r w:rsidRPr="006E19A0">
        <w:t>Transfer stations within 50 miles of CROCG were also analyzed. As a closure plan was submitted for the Hartford MIRA facility it was removed from the data set. For transfer stations with inaccessible waste permitted capacity data, it was assumed that the permitted capacity of a facility was directly proportional to its footprint size. Facility footprints were measured using Google Earth, and permitted capacities were calculated assuming 0.033 TPD of permitted capacity per square foot of footprint (derived from an industry rule-of-thumb that a 1,000 TPD facility has a footprint of approximately 30,000 square feet). It was then assumed that waste acceptance rates were 90% of the permitted capacity. Through this analysis, it was determined that the median available daily capacity per facility was 8.6 TPD. Applying this number to the 192 facility data set it was determined that there is approximately 1,650 TPD of available transfer station waste capacity within a 50-mile radius from CRCOG, not including regional or MIRA owned facilities. Tetra Tech considers this a ‘paper capacity’ indicating that the region is lacking transfer station capacity.</w:t>
      </w:r>
    </w:p>
    <w:p w14:paraId="6AC7BD33" w14:textId="77777777" w:rsidR="008B4416" w:rsidRDefault="008B4416" w:rsidP="004649F3">
      <w:pPr>
        <w:pStyle w:val="Caption"/>
        <w:keepNext/>
      </w:pPr>
    </w:p>
    <w:p w14:paraId="00227B33" w14:textId="2C7717EA" w:rsidR="004649F3" w:rsidRDefault="004649F3" w:rsidP="004649F3">
      <w:pPr>
        <w:pStyle w:val="Caption"/>
        <w:keepNext/>
      </w:pPr>
      <w:bookmarkStart w:id="108" w:name="_Toc116992594"/>
      <w:r>
        <w:t xml:space="preserve">Figure </w:t>
      </w:r>
      <w:r w:rsidR="00E9026D">
        <w:fldChar w:fldCharType="begin"/>
      </w:r>
      <w:r w:rsidR="00E9026D">
        <w:instrText xml:space="preserve"> SEQ Figure \* ARABIC </w:instrText>
      </w:r>
      <w:r w:rsidR="00E9026D">
        <w:fldChar w:fldCharType="separate"/>
      </w:r>
      <w:r>
        <w:rPr>
          <w:noProof/>
        </w:rPr>
        <w:t>12</w:t>
      </w:r>
      <w:r w:rsidR="00E9026D">
        <w:rPr>
          <w:noProof/>
        </w:rPr>
        <w:fldChar w:fldCharType="end"/>
      </w:r>
      <w:r>
        <w:t xml:space="preserve"> Transfer Station Capacity Data</w:t>
      </w:r>
      <w:bookmarkEnd w:id="108"/>
    </w:p>
    <w:p w14:paraId="0BB24FE8" w14:textId="7959C16E" w:rsidR="008B4416" w:rsidRDefault="00F80552" w:rsidP="008B4416">
      <w:r>
        <w:rPr>
          <w:noProof/>
        </w:rPr>
        <w:drawing>
          <wp:inline distT="0" distB="0" distL="0" distR="0" wp14:anchorId="035E8EFA" wp14:editId="2FFD0945">
            <wp:extent cx="6400165" cy="4107216"/>
            <wp:effectExtent l="0" t="0" r="635" b="762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228EE23" w14:textId="77777777" w:rsidR="008B4416" w:rsidRDefault="008B4416" w:rsidP="008B4416"/>
    <w:p w14:paraId="7F129A36" w14:textId="77777777" w:rsidR="008109FB" w:rsidRDefault="008109FB">
      <w:pPr>
        <w:spacing w:line="240" w:lineRule="auto"/>
        <w:jc w:val="left"/>
        <w:rPr>
          <w:rFonts w:ascii="Georgia" w:eastAsiaTheme="majorEastAsia" w:hAnsi="Georgia" w:cstheme="majorBidi"/>
          <w:color w:val="1D666E" w:themeColor="accent1"/>
          <w:sz w:val="32"/>
          <w:szCs w:val="32"/>
        </w:rPr>
      </w:pPr>
      <w:r>
        <w:br w:type="page"/>
      </w:r>
    </w:p>
    <w:p w14:paraId="4962BD36" w14:textId="7DB63718" w:rsidR="00C0577B" w:rsidRDefault="00C0577B" w:rsidP="00C0577B">
      <w:pPr>
        <w:pStyle w:val="Subtitle"/>
      </w:pPr>
      <w:bookmarkStart w:id="109" w:name="_Toc117000343"/>
      <w:bookmarkStart w:id="110" w:name="_Toc117001066"/>
      <w:r>
        <w:t>Waste Generation</w:t>
      </w:r>
      <w:bookmarkEnd w:id="109"/>
      <w:bookmarkEnd w:id="110"/>
    </w:p>
    <w:p w14:paraId="6C01ADA3" w14:textId="77777777" w:rsidR="00C0577B" w:rsidRDefault="00C0577B" w:rsidP="00C0577B">
      <w:r w:rsidRPr="006E19A0">
        <w:t>Waste generation data was analyzed, looking at individual CRCOG member towns. Waste generation data was determined for each municipality using destination facility</w:t>
      </w:r>
      <w:r w:rsidRPr="006E19A0">
        <w:rPr>
          <w:vertAlign w:val="superscript"/>
        </w:rPr>
        <w:footnoteReference w:id="22"/>
      </w:r>
      <w:r w:rsidRPr="006E19A0">
        <w:t xml:space="preserve"> data for reporting years 2018 to 2020. Due to inconsistencies of the data, Tetra Tech also employed the CRCOG estimated per per-capita waste generation rate of 4.1 lbs./person/day (as compared to the U.S. national average of 4.9 lbs./person/day</w:t>
      </w:r>
      <w:r w:rsidRPr="006E19A0">
        <w:rPr>
          <w:vertAlign w:val="superscript"/>
        </w:rPr>
        <w:footnoteReference w:id="23"/>
      </w:r>
      <w:r w:rsidRPr="006E19A0">
        <w:t xml:space="preserve">) to each municipality’s population to obtain an alternative waste generation figure. The greater of the two values was used in the analysis. </w:t>
      </w:r>
    </w:p>
    <w:p w14:paraId="47446711" w14:textId="77777777" w:rsidR="008B4416" w:rsidRDefault="008B4416" w:rsidP="008B4416"/>
    <w:p w14:paraId="59853CCA" w14:textId="77777777" w:rsidR="00C94CF3" w:rsidRDefault="00C94CF3" w:rsidP="00C94CF3">
      <w:r w:rsidRPr="006E19A0">
        <w:t>T</w:t>
      </w:r>
      <w:r>
        <w:t>he t</w:t>
      </w:r>
      <w:r w:rsidRPr="006E19A0">
        <w:t xml:space="preserve">able below shows surrounding </w:t>
      </w:r>
      <w:r>
        <w:t xml:space="preserve">transfer and disposal </w:t>
      </w:r>
      <w:r w:rsidRPr="006E19A0">
        <w:t xml:space="preserve">facility capacity and </w:t>
      </w:r>
      <w:r>
        <w:t xml:space="preserve">alternative </w:t>
      </w:r>
      <w:r w:rsidRPr="006E19A0">
        <w:t>waste generation data for CRCOG.</w:t>
      </w:r>
    </w:p>
    <w:p w14:paraId="6779EEBE" w14:textId="77777777" w:rsidR="00C94CF3" w:rsidRPr="002B34EC" w:rsidRDefault="00C94CF3" w:rsidP="00C94CF3">
      <w:pPr>
        <w:rPr>
          <w:b/>
          <w:bCs/>
        </w:rPr>
      </w:pPr>
    </w:p>
    <w:p w14:paraId="7746A494" w14:textId="1C2D7522" w:rsidR="002E7089" w:rsidRDefault="002E7089" w:rsidP="002E7089">
      <w:pPr>
        <w:pStyle w:val="Caption"/>
        <w:keepNext/>
      </w:pPr>
      <w:bookmarkStart w:id="111" w:name="_Toc116992212"/>
      <w:r>
        <w:t xml:space="preserve">Table </w:t>
      </w:r>
      <w:r w:rsidR="00E9026D">
        <w:fldChar w:fldCharType="begin"/>
      </w:r>
      <w:r w:rsidR="00E9026D">
        <w:instrText xml:space="preserve"> SEQ Table \* ARABIC </w:instrText>
      </w:r>
      <w:r w:rsidR="00E9026D">
        <w:fldChar w:fldCharType="separate"/>
      </w:r>
      <w:r>
        <w:rPr>
          <w:noProof/>
        </w:rPr>
        <w:t>7</w:t>
      </w:r>
      <w:r w:rsidR="00E9026D">
        <w:rPr>
          <w:noProof/>
        </w:rPr>
        <w:fldChar w:fldCharType="end"/>
      </w:r>
      <w:r>
        <w:t xml:space="preserve"> Summary of CRCOG Municipalities Total Waste Generation</w:t>
      </w:r>
      <w:bookmarkEnd w:id="111"/>
    </w:p>
    <w:tbl>
      <w:tblPr>
        <w:tblStyle w:val="ListTable3-Accent1"/>
        <w:tblW w:w="999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5" w:type="dxa"/>
          <w:bottom w:w="115" w:type="dxa"/>
        </w:tblCellMar>
        <w:tblLook w:val="04A0" w:firstRow="1" w:lastRow="0" w:firstColumn="1" w:lastColumn="0" w:noHBand="0" w:noVBand="1"/>
      </w:tblPr>
      <w:tblGrid>
        <w:gridCol w:w="3420"/>
        <w:gridCol w:w="3420"/>
        <w:gridCol w:w="3150"/>
      </w:tblGrid>
      <w:tr w:rsidR="00C94CF3" w:rsidRPr="002D3570" w14:paraId="567FBD3F" w14:textId="77777777" w:rsidTr="00CB0A7F">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3420" w:type="dxa"/>
            <w:hideMark/>
          </w:tcPr>
          <w:p w14:paraId="72ABC27C" w14:textId="77777777" w:rsidR="00C94CF3" w:rsidRPr="00EB4D3A" w:rsidRDefault="00C94CF3" w:rsidP="00CB0A7F">
            <w:pPr>
              <w:jc w:val="left"/>
              <w:rPr>
                <w:color w:val="FFFFFF" w:themeColor="background1"/>
                <w:sz w:val="19"/>
                <w:szCs w:val="19"/>
              </w:rPr>
            </w:pPr>
            <w:r w:rsidRPr="00EB4D3A">
              <w:rPr>
                <w:color w:val="FFFFFF" w:themeColor="background1"/>
                <w:sz w:val="19"/>
                <w:szCs w:val="19"/>
              </w:rPr>
              <w:t>Facility Type</w:t>
            </w:r>
          </w:p>
        </w:tc>
        <w:tc>
          <w:tcPr>
            <w:tcW w:w="3420" w:type="dxa"/>
            <w:hideMark/>
          </w:tcPr>
          <w:p w14:paraId="4251153E" w14:textId="77777777" w:rsidR="00C94CF3" w:rsidRPr="00EB4D3A" w:rsidRDefault="00C94CF3" w:rsidP="00CB0A7F">
            <w:pPr>
              <w:jc w:val="left"/>
              <w:cnfStyle w:val="100000000000" w:firstRow="1" w:lastRow="0" w:firstColumn="0" w:lastColumn="0" w:oddVBand="0" w:evenVBand="0" w:oddHBand="0" w:evenHBand="0" w:firstRowFirstColumn="0" w:firstRowLastColumn="0" w:lastRowFirstColumn="0" w:lastRowLastColumn="0"/>
              <w:rPr>
                <w:color w:val="FFFFFF" w:themeColor="background1"/>
                <w:sz w:val="19"/>
                <w:szCs w:val="19"/>
              </w:rPr>
            </w:pPr>
            <w:r w:rsidRPr="00EB4D3A">
              <w:rPr>
                <w:color w:val="FFFFFF" w:themeColor="background1"/>
                <w:sz w:val="19"/>
                <w:szCs w:val="19"/>
              </w:rPr>
              <w:t xml:space="preserve"> Average Daily Capacity (Tons / Day)</w:t>
            </w:r>
          </w:p>
        </w:tc>
        <w:tc>
          <w:tcPr>
            <w:tcW w:w="3150" w:type="dxa"/>
            <w:hideMark/>
          </w:tcPr>
          <w:p w14:paraId="3BA8D1A7" w14:textId="77777777" w:rsidR="00C94CF3" w:rsidRPr="00EB4D3A" w:rsidRDefault="00C94CF3" w:rsidP="00CB0A7F">
            <w:pPr>
              <w:jc w:val="left"/>
              <w:cnfStyle w:val="100000000000" w:firstRow="1" w:lastRow="0" w:firstColumn="0" w:lastColumn="0" w:oddVBand="0" w:evenVBand="0" w:oddHBand="0" w:evenHBand="0" w:firstRowFirstColumn="0" w:firstRowLastColumn="0" w:lastRowFirstColumn="0" w:lastRowLastColumn="0"/>
              <w:rPr>
                <w:color w:val="FFFFFF" w:themeColor="background1"/>
                <w:sz w:val="19"/>
                <w:szCs w:val="19"/>
              </w:rPr>
            </w:pPr>
            <w:r w:rsidRPr="00EB4D3A">
              <w:rPr>
                <w:color w:val="FFFFFF" w:themeColor="background1"/>
                <w:sz w:val="19"/>
                <w:szCs w:val="19"/>
              </w:rPr>
              <w:t>Total Available Annual Capacity (Tons / Year)</w:t>
            </w:r>
          </w:p>
        </w:tc>
      </w:tr>
      <w:tr w:rsidR="00C94CF3" w:rsidRPr="006E19A0" w14:paraId="2D43D4D6" w14:textId="77777777" w:rsidTr="00CB0A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20" w:type="dxa"/>
            <w:shd w:val="clear" w:color="auto" w:fill="D9D9D9" w:themeFill="background1" w:themeFillShade="D9"/>
            <w:noWrap/>
            <w:hideMark/>
          </w:tcPr>
          <w:p w14:paraId="7D8C01F5" w14:textId="77777777" w:rsidR="00C94CF3" w:rsidRPr="00EB4D3A" w:rsidRDefault="00C94CF3" w:rsidP="00CB0A7F">
            <w:pPr>
              <w:jc w:val="left"/>
              <w:rPr>
                <w:sz w:val="19"/>
                <w:szCs w:val="19"/>
              </w:rPr>
            </w:pPr>
            <w:r w:rsidRPr="00EB4D3A">
              <w:rPr>
                <w:sz w:val="19"/>
                <w:szCs w:val="19"/>
              </w:rPr>
              <w:t>Landfills</w:t>
            </w:r>
          </w:p>
        </w:tc>
        <w:tc>
          <w:tcPr>
            <w:tcW w:w="3420" w:type="dxa"/>
            <w:shd w:val="clear" w:color="auto" w:fill="F2F2F2" w:themeFill="background1" w:themeFillShade="F2"/>
            <w:noWrap/>
            <w:hideMark/>
          </w:tcPr>
          <w:p w14:paraId="7F341FAB" w14:textId="77777777" w:rsidR="00C94CF3" w:rsidRPr="00EB4D3A" w:rsidRDefault="00C94CF3" w:rsidP="00CB0A7F">
            <w:pPr>
              <w:jc w:val="left"/>
              <w:cnfStyle w:val="000000100000" w:firstRow="0" w:lastRow="0" w:firstColumn="0" w:lastColumn="0" w:oddVBand="0" w:evenVBand="0" w:oddHBand="1" w:evenHBand="0" w:firstRowFirstColumn="0" w:firstRowLastColumn="0" w:lastRowFirstColumn="0" w:lastRowLastColumn="0"/>
              <w:rPr>
                <w:sz w:val="19"/>
                <w:szCs w:val="19"/>
              </w:rPr>
            </w:pPr>
            <w:r w:rsidRPr="00EB4D3A">
              <w:rPr>
                <w:sz w:val="19"/>
                <w:szCs w:val="19"/>
              </w:rPr>
              <w:t>74,050</w:t>
            </w:r>
          </w:p>
        </w:tc>
        <w:tc>
          <w:tcPr>
            <w:tcW w:w="3150" w:type="dxa"/>
            <w:shd w:val="clear" w:color="auto" w:fill="F2F2F2" w:themeFill="background1" w:themeFillShade="F2"/>
            <w:noWrap/>
            <w:hideMark/>
          </w:tcPr>
          <w:p w14:paraId="0DAFD324" w14:textId="77777777" w:rsidR="00C94CF3" w:rsidRPr="00EB4D3A" w:rsidRDefault="00C94CF3" w:rsidP="00CB0A7F">
            <w:pPr>
              <w:jc w:val="left"/>
              <w:cnfStyle w:val="000000100000" w:firstRow="0" w:lastRow="0" w:firstColumn="0" w:lastColumn="0" w:oddVBand="0" w:evenVBand="0" w:oddHBand="1" w:evenHBand="0" w:firstRowFirstColumn="0" w:firstRowLastColumn="0" w:lastRowFirstColumn="0" w:lastRowLastColumn="0"/>
              <w:rPr>
                <w:sz w:val="19"/>
                <w:szCs w:val="19"/>
              </w:rPr>
            </w:pPr>
            <w:r w:rsidRPr="00EB4D3A">
              <w:rPr>
                <w:sz w:val="19"/>
                <w:szCs w:val="19"/>
              </w:rPr>
              <w:t>27,028,329</w:t>
            </w:r>
          </w:p>
        </w:tc>
      </w:tr>
      <w:tr w:rsidR="00C94CF3" w:rsidRPr="006E19A0" w14:paraId="39E4C06C" w14:textId="77777777" w:rsidTr="00CB0A7F">
        <w:trPr>
          <w:trHeight w:val="288"/>
        </w:trPr>
        <w:tc>
          <w:tcPr>
            <w:cnfStyle w:val="001000000000" w:firstRow="0" w:lastRow="0" w:firstColumn="1" w:lastColumn="0" w:oddVBand="0" w:evenVBand="0" w:oddHBand="0" w:evenHBand="0" w:firstRowFirstColumn="0" w:firstRowLastColumn="0" w:lastRowFirstColumn="0" w:lastRowLastColumn="0"/>
            <w:tcW w:w="3420" w:type="dxa"/>
            <w:shd w:val="clear" w:color="auto" w:fill="D9D9D9" w:themeFill="background1" w:themeFillShade="D9"/>
            <w:noWrap/>
            <w:hideMark/>
          </w:tcPr>
          <w:p w14:paraId="1E48D788" w14:textId="77777777" w:rsidR="00C94CF3" w:rsidRPr="00EB4D3A" w:rsidRDefault="00C94CF3" w:rsidP="00CB0A7F">
            <w:pPr>
              <w:jc w:val="left"/>
              <w:rPr>
                <w:sz w:val="19"/>
                <w:szCs w:val="19"/>
              </w:rPr>
            </w:pPr>
            <w:r w:rsidRPr="00EB4D3A">
              <w:rPr>
                <w:sz w:val="19"/>
                <w:szCs w:val="19"/>
              </w:rPr>
              <w:t>WTE</w:t>
            </w:r>
          </w:p>
        </w:tc>
        <w:tc>
          <w:tcPr>
            <w:tcW w:w="3420" w:type="dxa"/>
            <w:shd w:val="clear" w:color="auto" w:fill="F2F2F2" w:themeFill="background1" w:themeFillShade="F2"/>
            <w:noWrap/>
            <w:hideMark/>
          </w:tcPr>
          <w:p w14:paraId="6B814250" w14:textId="77777777" w:rsidR="00C94CF3" w:rsidRPr="00EB4D3A" w:rsidRDefault="00C94CF3" w:rsidP="00CB0A7F">
            <w:pPr>
              <w:jc w:val="left"/>
              <w:cnfStyle w:val="000000000000" w:firstRow="0" w:lastRow="0" w:firstColumn="0" w:lastColumn="0" w:oddVBand="0" w:evenVBand="0" w:oddHBand="0" w:evenHBand="0" w:firstRowFirstColumn="0" w:firstRowLastColumn="0" w:lastRowFirstColumn="0" w:lastRowLastColumn="0"/>
              <w:rPr>
                <w:sz w:val="19"/>
                <w:szCs w:val="19"/>
              </w:rPr>
            </w:pPr>
            <w:r w:rsidRPr="00EB4D3A">
              <w:rPr>
                <w:sz w:val="19"/>
                <w:szCs w:val="19"/>
              </w:rPr>
              <w:t>3,462</w:t>
            </w:r>
          </w:p>
        </w:tc>
        <w:tc>
          <w:tcPr>
            <w:tcW w:w="3150" w:type="dxa"/>
            <w:shd w:val="clear" w:color="auto" w:fill="F2F2F2" w:themeFill="background1" w:themeFillShade="F2"/>
            <w:noWrap/>
            <w:hideMark/>
          </w:tcPr>
          <w:p w14:paraId="58D9E2F5" w14:textId="77777777" w:rsidR="00C94CF3" w:rsidRPr="00EB4D3A" w:rsidRDefault="00C94CF3" w:rsidP="00CB0A7F">
            <w:pPr>
              <w:jc w:val="left"/>
              <w:cnfStyle w:val="000000000000" w:firstRow="0" w:lastRow="0" w:firstColumn="0" w:lastColumn="0" w:oddVBand="0" w:evenVBand="0" w:oddHBand="0" w:evenHBand="0" w:firstRowFirstColumn="0" w:firstRowLastColumn="0" w:lastRowFirstColumn="0" w:lastRowLastColumn="0"/>
              <w:rPr>
                <w:sz w:val="19"/>
                <w:szCs w:val="19"/>
              </w:rPr>
            </w:pPr>
            <w:r w:rsidRPr="00EB4D3A">
              <w:rPr>
                <w:sz w:val="19"/>
                <w:szCs w:val="19"/>
              </w:rPr>
              <w:t>1,263,729</w:t>
            </w:r>
          </w:p>
        </w:tc>
      </w:tr>
      <w:tr w:rsidR="00C94CF3" w:rsidRPr="006E19A0" w14:paraId="60B2FB50" w14:textId="77777777" w:rsidTr="00CB0A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shd w:val="clear" w:color="auto" w:fill="D9D9D9" w:themeFill="background1" w:themeFillShade="D9"/>
            <w:noWrap/>
            <w:hideMark/>
          </w:tcPr>
          <w:p w14:paraId="17B6CCE6" w14:textId="77777777" w:rsidR="00C94CF3" w:rsidRPr="00EB4D3A" w:rsidRDefault="00C94CF3" w:rsidP="00CB0A7F">
            <w:pPr>
              <w:jc w:val="left"/>
              <w:rPr>
                <w:sz w:val="19"/>
                <w:szCs w:val="19"/>
              </w:rPr>
            </w:pPr>
            <w:r w:rsidRPr="00EB4D3A">
              <w:rPr>
                <w:sz w:val="19"/>
                <w:szCs w:val="19"/>
              </w:rPr>
              <w:t>Transfer Stations</w:t>
            </w:r>
          </w:p>
        </w:tc>
        <w:tc>
          <w:tcPr>
            <w:tcW w:w="3420" w:type="dxa"/>
            <w:shd w:val="clear" w:color="auto" w:fill="F2F2F2" w:themeFill="background1" w:themeFillShade="F2"/>
            <w:noWrap/>
            <w:hideMark/>
          </w:tcPr>
          <w:p w14:paraId="5ADF48FA" w14:textId="77777777" w:rsidR="00C94CF3" w:rsidRPr="00EB4D3A" w:rsidRDefault="00C94CF3" w:rsidP="00CB0A7F">
            <w:pPr>
              <w:jc w:val="left"/>
              <w:cnfStyle w:val="000000100000" w:firstRow="0" w:lastRow="0" w:firstColumn="0" w:lastColumn="0" w:oddVBand="0" w:evenVBand="0" w:oddHBand="1" w:evenHBand="0" w:firstRowFirstColumn="0" w:firstRowLastColumn="0" w:lastRowFirstColumn="0" w:lastRowLastColumn="0"/>
              <w:rPr>
                <w:sz w:val="19"/>
                <w:szCs w:val="19"/>
              </w:rPr>
            </w:pPr>
            <w:r w:rsidRPr="00EB4D3A">
              <w:rPr>
                <w:sz w:val="19"/>
                <w:szCs w:val="19"/>
              </w:rPr>
              <w:t>1,663</w:t>
            </w:r>
          </w:p>
        </w:tc>
        <w:tc>
          <w:tcPr>
            <w:tcW w:w="3150" w:type="dxa"/>
            <w:shd w:val="clear" w:color="auto" w:fill="F2F2F2" w:themeFill="background1" w:themeFillShade="F2"/>
            <w:noWrap/>
            <w:hideMark/>
          </w:tcPr>
          <w:p w14:paraId="42FF8C37" w14:textId="77777777" w:rsidR="00C94CF3" w:rsidRPr="00EB4D3A" w:rsidRDefault="00C94CF3" w:rsidP="00CB0A7F">
            <w:pPr>
              <w:jc w:val="left"/>
              <w:cnfStyle w:val="000000100000" w:firstRow="0" w:lastRow="0" w:firstColumn="0" w:lastColumn="0" w:oddVBand="0" w:evenVBand="0" w:oddHBand="1" w:evenHBand="0" w:firstRowFirstColumn="0" w:firstRowLastColumn="0" w:lastRowFirstColumn="0" w:lastRowLastColumn="0"/>
              <w:rPr>
                <w:sz w:val="19"/>
                <w:szCs w:val="19"/>
              </w:rPr>
            </w:pPr>
            <w:r w:rsidRPr="00EB4D3A">
              <w:rPr>
                <w:sz w:val="19"/>
                <w:szCs w:val="19"/>
              </w:rPr>
              <w:t>607,068</w:t>
            </w:r>
          </w:p>
        </w:tc>
      </w:tr>
      <w:tr w:rsidR="00C94CF3" w:rsidRPr="006E19A0" w14:paraId="3C9AFC0B" w14:textId="77777777" w:rsidTr="00CB0A7F">
        <w:trPr>
          <w:trHeight w:val="300"/>
        </w:trPr>
        <w:tc>
          <w:tcPr>
            <w:cnfStyle w:val="001000000000" w:firstRow="0" w:lastRow="0" w:firstColumn="1" w:lastColumn="0" w:oddVBand="0" w:evenVBand="0" w:oddHBand="0" w:evenHBand="0" w:firstRowFirstColumn="0" w:firstRowLastColumn="0" w:lastRowFirstColumn="0" w:lastRowLastColumn="0"/>
            <w:tcW w:w="3420" w:type="dxa"/>
            <w:shd w:val="clear" w:color="auto" w:fill="D9D9D9" w:themeFill="background1" w:themeFillShade="D9"/>
            <w:noWrap/>
            <w:hideMark/>
          </w:tcPr>
          <w:p w14:paraId="4D600407" w14:textId="77777777" w:rsidR="00C94CF3" w:rsidRPr="00EB4D3A" w:rsidRDefault="00C94CF3" w:rsidP="00CB0A7F">
            <w:pPr>
              <w:jc w:val="left"/>
              <w:rPr>
                <w:b w:val="0"/>
                <w:bCs w:val="0"/>
                <w:sz w:val="19"/>
                <w:szCs w:val="19"/>
              </w:rPr>
            </w:pPr>
            <w:r w:rsidRPr="00EB4D3A">
              <w:rPr>
                <w:sz w:val="19"/>
                <w:szCs w:val="19"/>
              </w:rPr>
              <w:t>Total</w:t>
            </w:r>
          </w:p>
        </w:tc>
        <w:tc>
          <w:tcPr>
            <w:tcW w:w="3420" w:type="dxa"/>
            <w:shd w:val="clear" w:color="auto" w:fill="F2F2F2" w:themeFill="background1" w:themeFillShade="F2"/>
            <w:noWrap/>
            <w:hideMark/>
          </w:tcPr>
          <w:p w14:paraId="778763D2" w14:textId="77777777" w:rsidR="00C94CF3" w:rsidRPr="00EB4D3A" w:rsidRDefault="00C94CF3" w:rsidP="00CB0A7F">
            <w:pPr>
              <w:jc w:val="left"/>
              <w:cnfStyle w:val="000000000000" w:firstRow="0" w:lastRow="0" w:firstColumn="0" w:lastColumn="0" w:oddVBand="0" w:evenVBand="0" w:oddHBand="0" w:evenHBand="0" w:firstRowFirstColumn="0" w:firstRowLastColumn="0" w:lastRowFirstColumn="0" w:lastRowLastColumn="0"/>
              <w:rPr>
                <w:sz w:val="19"/>
                <w:szCs w:val="19"/>
              </w:rPr>
            </w:pPr>
            <w:r w:rsidRPr="00EB4D3A">
              <w:rPr>
                <w:sz w:val="19"/>
                <w:szCs w:val="19"/>
              </w:rPr>
              <w:t>79,176</w:t>
            </w:r>
          </w:p>
        </w:tc>
        <w:tc>
          <w:tcPr>
            <w:tcW w:w="3150" w:type="dxa"/>
            <w:shd w:val="clear" w:color="auto" w:fill="F2F2F2" w:themeFill="background1" w:themeFillShade="F2"/>
            <w:noWrap/>
            <w:hideMark/>
          </w:tcPr>
          <w:p w14:paraId="200D62FB" w14:textId="77777777" w:rsidR="00C94CF3" w:rsidRPr="00EB4D3A" w:rsidRDefault="00C94CF3" w:rsidP="00CB0A7F">
            <w:pPr>
              <w:jc w:val="left"/>
              <w:cnfStyle w:val="000000000000" w:firstRow="0" w:lastRow="0" w:firstColumn="0" w:lastColumn="0" w:oddVBand="0" w:evenVBand="0" w:oddHBand="0" w:evenHBand="0" w:firstRowFirstColumn="0" w:firstRowLastColumn="0" w:lastRowFirstColumn="0" w:lastRowLastColumn="0"/>
              <w:rPr>
                <w:sz w:val="19"/>
                <w:szCs w:val="19"/>
              </w:rPr>
            </w:pPr>
            <w:r w:rsidRPr="00EB4D3A">
              <w:rPr>
                <w:sz w:val="19"/>
                <w:szCs w:val="19"/>
              </w:rPr>
              <w:t>28,899,126</w:t>
            </w:r>
          </w:p>
        </w:tc>
      </w:tr>
      <w:tr w:rsidR="00C94CF3" w:rsidRPr="006E19A0" w14:paraId="729B0F46" w14:textId="77777777" w:rsidTr="00CB0A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shd w:val="clear" w:color="auto" w:fill="D9D9D9" w:themeFill="background1" w:themeFillShade="D9"/>
            <w:noWrap/>
          </w:tcPr>
          <w:p w14:paraId="20C40911" w14:textId="77777777" w:rsidR="00C94CF3" w:rsidRPr="00EB4D3A" w:rsidRDefault="00C94CF3" w:rsidP="00CB0A7F">
            <w:pPr>
              <w:jc w:val="left"/>
              <w:rPr>
                <w:b w:val="0"/>
                <w:bCs w:val="0"/>
                <w:sz w:val="19"/>
                <w:szCs w:val="19"/>
              </w:rPr>
            </w:pPr>
            <w:r w:rsidRPr="00EB4D3A">
              <w:rPr>
                <w:sz w:val="19"/>
                <w:szCs w:val="19"/>
              </w:rPr>
              <w:t xml:space="preserve">CRCOG </w:t>
            </w:r>
            <w:r>
              <w:rPr>
                <w:sz w:val="19"/>
                <w:szCs w:val="19"/>
              </w:rPr>
              <w:t xml:space="preserve">Alternative </w:t>
            </w:r>
            <w:r w:rsidRPr="00EB4D3A">
              <w:rPr>
                <w:sz w:val="19"/>
                <w:szCs w:val="19"/>
              </w:rPr>
              <w:t>Waste Generation</w:t>
            </w:r>
          </w:p>
        </w:tc>
        <w:tc>
          <w:tcPr>
            <w:tcW w:w="3420" w:type="dxa"/>
            <w:shd w:val="clear" w:color="auto" w:fill="F2F2F2" w:themeFill="background1" w:themeFillShade="F2"/>
            <w:noWrap/>
          </w:tcPr>
          <w:p w14:paraId="1B9C8734" w14:textId="77777777" w:rsidR="00C94CF3" w:rsidRPr="00EB4D3A" w:rsidRDefault="00C94CF3" w:rsidP="00CB0A7F">
            <w:pPr>
              <w:jc w:val="left"/>
              <w:cnfStyle w:val="000000100000" w:firstRow="0" w:lastRow="0" w:firstColumn="0" w:lastColumn="0" w:oddVBand="0" w:evenVBand="0" w:oddHBand="1" w:evenHBand="0" w:firstRowFirstColumn="0" w:firstRowLastColumn="0" w:lastRowFirstColumn="0" w:lastRowLastColumn="0"/>
              <w:rPr>
                <w:rFonts w:eastAsia="Times New Roman"/>
                <w:sz w:val="19"/>
                <w:szCs w:val="19"/>
              </w:rPr>
            </w:pPr>
            <w:r w:rsidRPr="00EB4D3A">
              <w:rPr>
                <w:sz w:val="19"/>
                <w:szCs w:val="19"/>
              </w:rPr>
              <w:t>2,</w:t>
            </w:r>
            <w:r w:rsidRPr="4987A0BF">
              <w:rPr>
                <w:sz w:val="19"/>
                <w:szCs w:val="19"/>
              </w:rPr>
              <w:t>020</w:t>
            </w:r>
            <w:r w:rsidRPr="00EB4D3A">
              <w:rPr>
                <w:sz w:val="19"/>
                <w:szCs w:val="19"/>
              </w:rPr>
              <w:t xml:space="preserve"> TPD</w:t>
            </w:r>
          </w:p>
        </w:tc>
        <w:tc>
          <w:tcPr>
            <w:tcW w:w="3150" w:type="dxa"/>
            <w:shd w:val="clear" w:color="auto" w:fill="F2F2F2" w:themeFill="background1" w:themeFillShade="F2"/>
            <w:noWrap/>
          </w:tcPr>
          <w:p w14:paraId="5EFB87F1" w14:textId="77777777" w:rsidR="00C94CF3" w:rsidRPr="00EB4D3A" w:rsidRDefault="00C94CF3" w:rsidP="00CB0A7F">
            <w:pPr>
              <w:jc w:val="left"/>
              <w:cnfStyle w:val="000000100000" w:firstRow="0" w:lastRow="0" w:firstColumn="0" w:lastColumn="0" w:oddVBand="0" w:evenVBand="0" w:oddHBand="1" w:evenHBand="0" w:firstRowFirstColumn="0" w:firstRowLastColumn="0" w:lastRowFirstColumn="0" w:lastRowLastColumn="0"/>
              <w:rPr>
                <w:rFonts w:eastAsia="Times New Roman"/>
                <w:sz w:val="19"/>
                <w:szCs w:val="19"/>
              </w:rPr>
            </w:pPr>
            <w:r w:rsidRPr="4987A0BF">
              <w:rPr>
                <w:sz w:val="19"/>
                <w:szCs w:val="19"/>
              </w:rPr>
              <w:t>737,323</w:t>
            </w:r>
            <w:r w:rsidRPr="00EB4D3A">
              <w:rPr>
                <w:sz w:val="19"/>
                <w:szCs w:val="19"/>
              </w:rPr>
              <w:t xml:space="preserve"> TPY</w:t>
            </w:r>
          </w:p>
        </w:tc>
      </w:tr>
    </w:tbl>
    <w:p w14:paraId="22BFC9F6" w14:textId="3325F669" w:rsidR="008B4416" w:rsidRDefault="008B4416" w:rsidP="008B4416"/>
    <w:p w14:paraId="5B73611A" w14:textId="1459E6C2" w:rsidR="008109FB" w:rsidRDefault="008109FB">
      <w:pPr>
        <w:spacing w:line="240" w:lineRule="auto"/>
        <w:jc w:val="left"/>
        <w:rPr>
          <w:rFonts w:ascii="Georgia" w:eastAsiaTheme="majorEastAsia" w:hAnsi="Georgia" w:cstheme="majorBidi"/>
          <w:color w:val="1D666E" w:themeColor="accent1"/>
          <w:sz w:val="32"/>
          <w:szCs w:val="32"/>
        </w:rPr>
      </w:pPr>
      <w:r>
        <w:br w:type="page"/>
      </w:r>
    </w:p>
    <w:p w14:paraId="32CC97C2" w14:textId="625E9BA5" w:rsidR="00C96A60" w:rsidRPr="006818AB" w:rsidRDefault="00C96A60" w:rsidP="00760A64">
      <w:pPr>
        <w:pStyle w:val="Subtitle"/>
        <w:rPr>
          <w:rFonts w:eastAsia="MS Gothic"/>
        </w:rPr>
      </w:pPr>
      <w:bookmarkStart w:id="112" w:name="_Toc117000344"/>
      <w:bookmarkStart w:id="113" w:name="_Toc117001067"/>
      <w:r>
        <w:rPr>
          <w:rFonts w:eastAsia="MS Gothic"/>
        </w:rPr>
        <w:t>Cumulative Disposal Capacity</w:t>
      </w:r>
      <w:bookmarkEnd w:id="112"/>
      <w:bookmarkEnd w:id="113"/>
    </w:p>
    <w:p w14:paraId="70A28909" w14:textId="730F7370" w:rsidR="00474868" w:rsidRDefault="00474868" w:rsidP="00474868">
      <w:r w:rsidRPr="006E19A0">
        <w:t xml:space="preserve">The figure </w:t>
      </w:r>
      <w:r>
        <w:t xml:space="preserve">below </w:t>
      </w:r>
      <w:r w:rsidRPr="006E19A0">
        <w:t>show</w:t>
      </w:r>
      <w:r>
        <w:t>s</w:t>
      </w:r>
      <w:r w:rsidRPr="006E19A0">
        <w:t xml:space="preserve"> cumulative disposal capacity at landfills and WTE facilities. Waste processing capacity at transfer station is plotted separately.</w:t>
      </w:r>
    </w:p>
    <w:p w14:paraId="3A7705CC" w14:textId="08670ABE" w:rsidR="00474868" w:rsidRPr="006E19A0" w:rsidRDefault="004649F3" w:rsidP="00474868">
      <w:r>
        <w:rPr>
          <w:noProof/>
        </w:rPr>
        <mc:AlternateContent>
          <mc:Choice Requires="wps">
            <w:drawing>
              <wp:anchor distT="0" distB="0" distL="114300" distR="114300" simplePos="0" relativeHeight="251658255" behindDoc="0" locked="0" layoutInCell="1" allowOverlap="1" wp14:anchorId="7210EC8E" wp14:editId="4DC19609">
                <wp:simplePos x="0" y="0"/>
                <wp:positionH relativeFrom="column">
                  <wp:posOffset>-635</wp:posOffset>
                </wp:positionH>
                <wp:positionV relativeFrom="paragraph">
                  <wp:posOffset>161816</wp:posOffset>
                </wp:positionV>
                <wp:extent cx="6350635" cy="145415"/>
                <wp:effectExtent l="0" t="0" r="0" b="6985"/>
                <wp:wrapSquare wrapText="bothSides"/>
                <wp:docPr id="30" name="Text Box 30"/>
                <wp:cNvGraphicFramePr/>
                <a:graphic xmlns:a="http://schemas.openxmlformats.org/drawingml/2006/main">
                  <a:graphicData uri="http://schemas.microsoft.com/office/word/2010/wordprocessingShape">
                    <wps:wsp>
                      <wps:cNvSpPr txBox="1"/>
                      <wps:spPr>
                        <a:xfrm>
                          <a:off x="0" y="0"/>
                          <a:ext cx="6350635" cy="145415"/>
                        </a:xfrm>
                        <a:prstGeom prst="rect">
                          <a:avLst/>
                        </a:prstGeom>
                        <a:solidFill>
                          <a:prstClr val="white"/>
                        </a:solidFill>
                        <a:ln>
                          <a:noFill/>
                        </a:ln>
                      </wps:spPr>
                      <wps:txbx>
                        <w:txbxContent>
                          <w:p w14:paraId="576C246B" w14:textId="4FD19CF7" w:rsidR="004649F3" w:rsidRPr="0084270B" w:rsidRDefault="004649F3" w:rsidP="004649F3">
                            <w:pPr>
                              <w:pStyle w:val="Caption"/>
                              <w:rPr>
                                <w:rFonts w:cs="Times New Roman"/>
                                <w:noProof/>
                                <w:sz w:val="20"/>
                                <w:szCs w:val="24"/>
                              </w:rPr>
                            </w:pPr>
                            <w:bookmarkStart w:id="114" w:name="_Toc116992595"/>
                            <w:r>
                              <w:t xml:space="preserve">Figure </w:t>
                            </w:r>
                            <w:r w:rsidR="00E9026D">
                              <w:fldChar w:fldCharType="begin"/>
                            </w:r>
                            <w:r w:rsidR="00E9026D">
                              <w:instrText xml:space="preserve"> SEQ Figure \* ARABIC </w:instrText>
                            </w:r>
                            <w:r w:rsidR="00E9026D">
                              <w:fldChar w:fldCharType="separate"/>
                            </w:r>
                            <w:r>
                              <w:rPr>
                                <w:noProof/>
                              </w:rPr>
                              <w:t>13</w:t>
                            </w:r>
                            <w:r w:rsidR="00E9026D">
                              <w:rPr>
                                <w:noProof/>
                              </w:rPr>
                              <w:fldChar w:fldCharType="end"/>
                            </w:r>
                            <w:r>
                              <w:t xml:space="preserve"> Cumulative Daily Waste Management Facility Capacity vs. Distance</w:t>
                            </w:r>
                            <w:bookmarkEnd w:id="11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10EC8E" id="Text Box 30" o:spid="_x0000_s1035" type="#_x0000_t202" style="position:absolute;left:0;text-align:left;margin-left:-.05pt;margin-top:12.75pt;width:500.05pt;height:11.45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" stroked="f">
                <v:textbox inset="0,0,0,0">
                  <w:txbxContent>
                    <w:p w14:paraId="576C246B" w14:textId="4FD19CF7" w:rsidR="004649F3" w:rsidRPr="0084270B" w:rsidRDefault="004649F3" w:rsidP="004649F3">
                      <w:pPr>
                        <w:pStyle w:val="Caption"/>
                        <w:rPr>
                          <w:rFonts w:cs="Times New Roman"/>
                          <w:noProof/>
                          <w:sz w:val="20"/>
                          <w:szCs w:val="24"/>
                        </w:rPr>
                      </w:pPr>
                      <w:bookmarkStart w:id="123" w:name="_Toc116992595"/>
                      <w:r>
                        <w:t xml:space="preserve">Figure </w:t>
                      </w:r>
                      <w:fldSimple w:instr=" SEQ Figure \* ARABIC ">
                        <w:r>
                          <w:rPr>
                            <w:noProof/>
                          </w:rPr>
                          <w:t>13</w:t>
                        </w:r>
                      </w:fldSimple>
                      <w:r>
                        <w:t xml:space="preserve"> Cumulative Daily Waste Management Facility Capacity vs. Distance</w:t>
                      </w:r>
                      <w:bookmarkEnd w:id="123"/>
                    </w:p>
                  </w:txbxContent>
                </v:textbox>
                <w10:wrap type="square"/>
              </v:shape>
            </w:pict>
          </mc:Fallback>
        </mc:AlternateContent>
      </w:r>
    </w:p>
    <w:p w14:paraId="6FCD8BA7" w14:textId="76E7DB25" w:rsidR="00474868" w:rsidRPr="006E19A0" w:rsidRDefault="00474868" w:rsidP="002D3570">
      <w:r w:rsidRPr="006E19A0">
        <w:rPr>
          <w:rFonts w:cs="Times New Roman"/>
          <w:noProof/>
          <w:color w:val="auto"/>
          <w:szCs w:val="24"/>
        </w:rPr>
        <w:drawing>
          <wp:anchor distT="0" distB="0" distL="114300" distR="114300" simplePos="0" relativeHeight="251658251" behindDoc="0" locked="0" layoutInCell="1" allowOverlap="1" wp14:anchorId="37CF146D" wp14:editId="45415080">
            <wp:simplePos x="0" y="0"/>
            <wp:positionH relativeFrom="margin">
              <wp:posOffset>0</wp:posOffset>
            </wp:positionH>
            <wp:positionV relativeFrom="paragraph">
              <wp:posOffset>167005</wp:posOffset>
            </wp:positionV>
            <wp:extent cx="6350635" cy="4969510"/>
            <wp:effectExtent l="0" t="0" r="12065" b="8890"/>
            <wp:wrapSquare wrapText="bothSides"/>
            <wp:docPr id="5" name="Chart 5">
              <a:extLst xmlns:a="http://schemas.openxmlformats.org/drawingml/2006/main">
                <a:ext uri="{FF2B5EF4-FFF2-40B4-BE49-F238E27FC236}">
                  <a16:creationId xmlns:a16="http://schemas.microsoft.com/office/drawing/2014/main" id="{AED1FB72-A629-4446-B71F-6EAA86E9B64D}"/>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14:paraId="24B9EF4F" w14:textId="77777777" w:rsidR="00C25D2E" w:rsidRDefault="00C25D2E" w:rsidP="005850A3">
      <w:pPr>
        <w:pStyle w:val="Heading1"/>
      </w:pPr>
    </w:p>
    <w:p w14:paraId="224C47A5" w14:textId="77777777" w:rsidR="00C25D2E" w:rsidRDefault="00C25D2E" w:rsidP="005850A3">
      <w:pPr>
        <w:pStyle w:val="Heading1"/>
      </w:pPr>
    </w:p>
    <w:p w14:paraId="372BE9A8" w14:textId="77777777" w:rsidR="00A00ADE" w:rsidRDefault="00A00ADE">
      <w:pPr>
        <w:spacing w:line="240" w:lineRule="auto"/>
        <w:jc w:val="left"/>
        <w:rPr>
          <w:rFonts w:ascii="Georgia" w:hAnsi="Georgia" w:cs="Arial (Body CS)"/>
          <w:b/>
          <w:bCs/>
          <w:spacing w:val="4"/>
          <w:sz w:val="44"/>
          <w:szCs w:val="14"/>
        </w:rPr>
      </w:pPr>
      <w:r>
        <w:br w:type="page"/>
      </w:r>
    </w:p>
    <w:p w14:paraId="2821A376" w14:textId="1C58F670" w:rsidR="002D3570" w:rsidRPr="006E19A0" w:rsidRDefault="00E90388" w:rsidP="005850A3">
      <w:pPr>
        <w:pStyle w:val="Heading1"/>
      </w:pPr>
      <w:bookmarkStart w:id="115" w:name="_Toc117001068"/>
      <w:r>
        <w:t>Appendix B: Solid Waste Planning</w:t>
      </w:r>
      <w:r w:rsidR="00CC33D6">
        <w:t xml:space="preserve"> and Facility Siting – Relevant Policy</w:t>
      </w:r>
      <w:bookmarkEnd w:id="115"/>
    </w:p>
    <w:p w14:paraId="724093A6" w14:textId="77777777" w:rsidR="002D3570" w:rsidRPr="006E19A0" w:rsidRDefault="002D3570" w:rsidP="002D3570"/>
    <w:p w14:paraId="326D2E55" w14:textId="60EE12F4" w:rsidR="002D3570" w:rsidRPr="006E19A0" w:rsidRDefault="002D3570" w:rsidP="00CC33D6">
      <w:pPr>
        <w:pStyle w:val="Subtitle"/>
      </w:pPr>
      <w:bookmarkStart w:id="116" w:name="_Toc114936545"/>
      <w:bookmarkStart w:id="117" w:name="_Toc117000346"/>
      <w:bookmarkStart w:id="118" w:name="_Toc117001069"/>
      <w:r w:rsidRPr="006E19A0">
        <w:t>Solid Waste Management Working Group (Special Act 22-11)</w:t>
      </w:r>
      <w:bookmarkEnd w:id="116"/>
      <w:bookmarkEnd w:id="117"/>
      <w:bookmarkEnd w:id="118"/>
    </w:p>
    <w:p w14:paraId="2197436E" w14:textId="339D03CD" w:rsidR="002D3570" w:rsidRDefault="002D3570" w:rsidP="002D3570">
      <w:r w:rsidRPr="006E19A0">
        <w:t>As solid waste combustion has been the main method of municipal solid waste disposal in Connecticut</w:t>
      </w:r>
      <w:r w:rsidR="00441CF2" w:rsidRPr="006E19A0">
        <w:t xml:space="preserve">. </w:t>
      </w:r>
      <w:r w:rsidRPr="006E19A0">
        <w:t>With the closing of the MIRA facility in Hartford, and overall capacity shortage across the Northeast, the Solid Waste Management Working Group is being tasked to consider potential in-state solutions</w:t>
      </w:r>
      <w:r w:rsidR="001C7F10" w:rsidRPr="006E19A0">
        <w:t xml:space="preserve">. </w:t>
      </w:r>
    </w:p>
    <w:p w14:paraId="4302908D" w14:textId="77777777" w:rsidR="002D3570" w:rsidRPr="006E19A0" w:rsidRDefault="002D3570" w:rsidP="002D3570">
      <w:pPr>
        <w:rPr>
          <w:rFonts w:cs="Times New Roman"/>
          <w:szCs w:val="24"/>
        </w:rPr>
      </w:pPr>
    </w:p>
    <w:p w14:paraId="547056E6" w14:textId="1D287DA2" w:rsidR="002D3570" w:rsidRDefault="002D3570" w:rsidP="002D3570">
      <w:r w:rsidRPr="006E19A0">
        <w:t>Special Act No. 22-11</w:t>
      </w:r>
      <w:r w:rsidRPr="006E19A0">
        <w:rPr>
          <w:vertAlign w:val="superscript"/>
        </w:rPr>
        <w:footnoteReference w:id="24"/>
      </w:r>
      <w:r w:rsidRPr="006E19A0">
        <w:t xml:space="preserve">  recently established a Solid Waste Management Working Group (Working Group) for the purpose of strategic planning for both short-term and long-term management and disposal of solid waste across the state. The Work Group is tasked to study and make recommendations related to solid waste management in the state</w:t>
      </w:r>
      <w:r w:rsidR="007B2E56" w:rsidRPr="006E19A0">
        <w:t xml:space="preserve">. </w:t>
      </w:r>
      <w:r w:rsidRPr="006E19A0">
        <w:t>Their report to legislature is due not later than January 1</w:t>
      </w:r>
      <w:r>
        <w:t xml:space="preserve">, </w:t>
      </w:r>
      <w:r w:rsidRPr="006E19A0">
        <w:t>2023</w:t>
      </w:r>
      <w:r w:rsidR="007B2E56" w:rsidRPr="006E19A0">
        <w:t xml:space="preserve">. </w:t>
      </w:r>
      <w:r w:rsidRPr="006E19A0">
        <w:t>The Working Group held its initial meeting on August 17</w:t>
      </w:r>
      <w:r w:rsidRPr="006E19A0">
        <w:rPr>
          <w:vertAlign w:val="superscript"/>
        </w:rPr>
        <w:t>th</w:t>
      </w:r>
      <w:r w:rsidRPr="006E19A0">
        <w:t>, 2022</w:t>
      </w:r>
      <w:r w:rsidR="00240A1B" w:rsidRPr="006E19A0">
        <w:t xml:space="preserve">. </w:t>
      </w:r>
      <w:r w:rsidRPr="006E19A0">
        <w:t xml:space="preserve">The Act states that the Working Group shall consist of members from the following sectors shown in the table. </w:t>
      </w:r>
    </w:p>
    <w:p w14:paraId="74C2A20C" w14:textId="77777777" w:rsidR="002D3570" w:rsidRPr="006E19A0" w:rsidRDefault="002D3570" w:rsidP="002D3570"/>
    <w:p w14:paraId="0D461673" w14:textId="3C92BCFF" w:rsidR="002E7089" w:rsidRDefault="002E7089" w:rsidP="002E7089">
      <w:pPr>
        <w:pStyle w:val="Caption"/>
        <w:keepNext/>
      </w:pPr>
      <w:bookmarkStart w:id="119" w:name="_Toc116992213"/>
      <w:r>
        <w:t xml:space="preserve">Table </w:t>
      </w:r>
      <w:r w:rsidR="00E9026D">
        <w:fldChar w:fldCharType="begin"/>
      </w:r>
      <w:r w:rsidR="00E9026D">
        <w:instrText xml:space="preserve"> SEQ Table \* ARABIC </w:instrText>
      </w:r>
      <w:r w:rsidR="00E9026D">
        <w:fldChar w:fldCharType="separate"/>
      </w:r>
      <w:r>
        <w:rPr>
          <w:noProof/>
        </w:rPr>
        <w:t>8</w:t>
      </w:r>
      <w:r w:rsidR="00E9026D">
        <w:rPr>
          <w:noProof/>
        </w:rPr>
        <w:fldChar w:fldCharType="end"/>
      </w:r>
      <w:r>
        <w:t xml:space="preserve"> CT Solid Waste Management Working Group Members</w:t>
      </w:r>
      <w:bookmarkEnd w:id="119"/>
    </w:p>
    <w:tbl>
      <w:tblPr>
        <w:tblStyle w:val="TableCustom"/>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CellMar>
          <w:top w:w="86" w:type="dxa"/>
          <w:left w:w="108" w:type="dxa"/>
          <w:bottom w:w="86" w:type="dxa"/>
          <w:right w:w="108" w:type="dxa"/>
        </w:tblCellMar>
        <w:tblLook w:val="04A0" w:firstRow="1" w:lastRow="0" w:firstColumn="1" w:lastColumn="0" w:noHBand="0" w:noVBand="1"/>
      </w:tblPr>
      <w:tblGrid>
        <w:gridCol w:w="471"/>
        <w:gridCol w:w="9177"/>
        <w:gridCol w:w="42"/>
      </w:tblGrid>
      <w:tr w:rsidR="002D3570" w:rsidRPr="00254C35" w14:paraId="3F7CD2EF" w14:textId="77777777" w:rsidTr="00CC33D6">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471" w:type="dxa"/>
            <w:shd w:val="clear" w:color="auto" w:fill="1D666E" w:themeFill="accent1"/>
          </w:tcPr>
          <w:p w14:paraId="69CFA729" w14:textId="77777777" w:rsidR="002D3570" w:rsidRPr="00254C35" w:rsidRDefault="002D3570" w:rsidP="007513F4">
            <w:pPr>
              <w:rPr>
                <w:color w:val="FFFFFF" w:themeColor="background1"/>
              </w:rPr>
            </w:pPr>
          </w:p>
        </w:tc>
        <w:tc>
          <w:tcPr>
            <w:tcW w:w="9219" w:type="dxa"/>
            <w:gridSpan w:val="2"/>
            <w:shd w:val="clear" w:color="auto" w:fill="1D666E" w:themeFill="accent1"/>
          </w:tcPr>
          <w:p w14:paraId="5E4CB306" w14:textId="77777777" w:rsidR="002D3570" w:rsidRPr="00254C35" w:rsidRDefault="002D3570" w:rsidP="007513F4">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254C35">
              <w:rPr>
                <w:color w:val="FFFFFF" w:themeColor="background1"/>
              </w:rPr>
              <w:t>CT Solid Waste Management Working Group</w:t>
            </w:r>
          </w:p>
        </w:tc>
      </w:tr>
      <w:tr w:rsidR="002D3570" w:rsidRPr="006E19A0" w14:paraId="609DD6F0" w14:textId="77777777" w:rsidTr="00CC33D6">
        <w:trPr>
          <w:gridAfter w:val="1"/>
          <w:wAfter w:w="42" w:type="dxa"/>
          <w:trHeight w:val="144"/>
        </w:trPr>
        <w:tc>
          <w:tcPr>
            <w:cnfStyle w:val="001000000000" w:firstRow="0" w:lastRow="0" w:firstColumn="1" w:lastColumn="0" w:oddVBand="0" w:evenVBand="0" w:oddHBand="0" w:evenHBand="0" w:firstRowFirstColumn="0" w:firstRowLastColumn="0" w:lastRowFirstColumn="0" w:lastRowLastColumn="0"/>
            <w:tcW w:w="471" w:type="dxa"/>
            <w:shd w:val="clear" w:color="auto" w:fill="D9D9D9" w:themeFill="background1" w:themeFillShade="D9"/>
          </w:tcPr>
          <w:p w14:paraId="32B4E7ED" w14:textId="77777777" w:rsidR="002D3570" w:rsidRPr="006E19A0" w:rsidRDefault="002D3570" w:rsidP="007513F4">
            <w:r w:rsidRPr="006E19A0">
              <w:t>1</w:t>
            </w:r>
          </w:p>
        </w:tc>
        <w:tc>
          <w:tcPr>
            <w:tcW w:w="9177" w:type="dxa"/>
            <w:shd w:val="clear" w:color="auto" w:fill="F2F2F2" w:themeFill="background1" w:themeFillShade="F2"/>
          </w:tcPr>
          <w:p w14:paraId="6132456A" w14:textId="77777777" w:rsidR="002D3570" w:rsidRPr="006E19A0" w:rsidRDefault="002D3570" w:rsidP="007513F4">
            <w:pPr>
              <w:cnfStyle w:val="000000000000" w:firstRow="0" w:lastRow="0" w:firstColumn="0" w:lastColumn="0" w:oddVBand="0" w:evenVBand="0" w:oddHBand="0" w:evenHBand="0" w:firstRowFirstColumn="0" w:firstRowLastColumn="0" w:lastRowFirstColumn="0" w:lastRowLastColumn="0"/>
            </w:pPr>
            <w:r w:rsidRPr="006E19A0">
              <w:t xml:space="preserve">Chairpersons of the joint standing committee of the CGA with knowledge related to the environment </w:t>
            </w:r>
          </w:p>
        </w:tc>
      </w:tr>
      <w:tr w:rsidR="002D3570" w:rsidRPr="006E19A0" w14:paraId="1432E04C" w14:textId="77777777" w:rsidTr="00CC33D6">
        <w:trPr>
          <w:gridAfter w:val="1"/>
          <w:cnfStyle w:val="000000010000" w:firstRow="0" w:lastRow="0" w:firstColumn="0" w:lastColumn="0" w:oddVBand="0" w:evenVBand="0" w:oddHBand="0" w:evenHBand="1" w:firstRowFirstColumn="0" w:firstRowLastColumn="0" w:lastRowFirstColumn="0" w:lastRowLastColumn="0"/>
          <w:wAfter w:w="42" w:type="dxa"/>
          <w:trHeight w:val="144"/>
        </w:trPr>
        <w:tc>
          <w:tcPr>
            <w:cnfStyle w:val="001000000000" w:firstRow="0" w:lastRow="0" w:firstColumn="1" w:lastColumn="0" w:oddVBand="0" w:evenVBand="0" w:oddHBand="0" w:evenHBand="0" w:firstRowFirstColumn="0" w:firstRowLastColumn="0" w:lastRowFirstColumn="0" w:lastRowLastColumn="0"/>
            <w:tcW w:w="471" w:type="dxa"/>
            <w:shd w:val="clear" w:color="auto" w:fill="D9D9D9" w:themeFill="background1" w:themeFillShade="D9"/>
          </w:tcPr>
          <w:p w14:paraId="224B9074" w14:textId="77777777" w:rsidR="002D3570" w:rsidRPr="006E19A0" w:rsidRDefault="002D3570" w:rsidP="007513F4">
            <w:r w:rsidRPr="006E19A0">
              <w:t>2</w:t>
            </w:r>
          </w:p>
        </w:tc>
        <w:tc>
          <w:tcPr>
            <w:tcW w:w="9177" w:type="dxa"/>
            <w:shd w:val="clear" w:color="auto" w:fill="F2F2F2" w:themeFill="background1" w:themeFillShade="F2"/>
          </w:tcPr>
          <w:p w14:paraId="47F16EC2" w14:textId="77777777" w:rsidR="002D3570" w:rsidRPr="006E19A0" w:rsidRDefault="002D3570" w:rsidP="007513F4">
            <w:pPr>
              <w:cnfStyle w:val="000000010000" w:firstRow="0" w:lastRow="0" w:firstColumn="0" w:lastColumn="0" w:oddVBand="0" w:evenVBand="0" w:oddHBand="0" w:evenHBand="1" w:firstRowFirstColumn="0" w:firstRowLastColumn="0" w:lastRowFirstColumn="0" w:lastRowLastColumn="0"/>
            </w:pPr>
            <w:r w:rsidRPr="006E19A0">
              <w:t>Senate chairperson and House vice-chairperson of the CGA with knowledge related to energy</w:t>
            </w:r>
          </w:p>
        </w:tc>
      </w:tr>
      <w:tr w:rsidR="002D3570" w:rsidRPr="006E19A0" w14:paraId="77B179DB" w14:textId="77777777" w:rsidTr="00CC33D6">
        <w:trPr>
          <w:gridAfter w:val="1"/>
          <w:wAfter w:w="42" w:type="dxa"/>
          <w:trHeight w:val="144"/>
        </w:trPr>
        <w:tc>
          <w:tcPr>
            <w:cnfStyle w:val="001000000000" w:firstRow="0" w:lastRow="0" w:firstColumn="1" w:lastColumn="0" w:oddVBand="0" w:evenVBand="0" w:oddHBand="0" w:evenHBand="0" w:firstRowFirstColumn="0" w:firstRowLastColumn="0" w:lastRowFirstColumn="0" w:lastRowLastColumn="0"/>
            <w:tcW w:w="471" w:type="dxa"/>
            <w:shd w:val="clear" w:color="auto" w:fill="D9D9D9" w:themeFill="background1" w:themeFillShade="D9"/>
          </w:tcPr>
          <w:p w14:paraId="7ED37296" w14:textId="77777777" w:rsidR="002D3570" w:rsidRPr="006E19A0" w:rsidRDefault="002D3570" w:rsidP="007513F4">
            <w:r w:rsidRPr="006E19A0">
              <w:t>3</w:t>
            </w:r>
          </w:p>
        </w:tc>
        <w:tc>
          <w:tcPr>
            <w:tcW w:w="9177" w:type="dxa"/>
            <w:shd w:val="clear" w:color="auto" w:fill="F2F2F2" w:themeFill="background1" w:themeFillShade="F2"/>
          </w:tcPr>
          <w:p w14:paraId="10DFE06D" w14:textId="77777777" w:rsidR="002D3570" w:rsidRPr="006E19A0" w:rsidRDefault="002D3570" w:rsidP="007513F4">
            <w:pPr>
              <w:cnfStyle w:val="000000000000" w:firstRow="0" w:lastRow="0" w:firstColumn="0" w:lastColumn="0" w:oddVBand="0" w:evenVBand="0" w:oddHBand="0" w:evenHBand="0" w:firstRowFirstColumn="0" w:firstRowLastColumn="0" w:lastRowFirstColumn="0" w:lastRowLastColumn="0"/>
            </w:pPr>
            <w:r w:rsidRPr="006E19A0">
              <w:t xml:space="preserve">Ranking members of the joint standing committee of the CGA with knowledge related to the environment </w:t>
            </w:r>
          </w:p>
        </w:tc>
      </w:tr>
      <w:tr w:rsidR="002D3570" w:rsidRPr="006E19A0" w14:paraId="28300E35" w14:textId="77777777" w:rsidTr="00CC33D6">
        <w:trPr>
          <w:gridAfter w:val="1"/>
          <w:cnfStyle w:val="000000010000" w:firstRow="0" w:lastRow="0" w:firstColumn="0" w:lastColumn="0" w:oddVBand="0" w:evenVBand="0" w:oddHBand="0" w:evenHBand="1" w:firstRowFirstColumn="0" w:firstRowLastColumn="0" w:lastRowFirstColumn="0" w:lastRowLastColumn="0"/>
          <w:wAfter w:w="42" w:type="dxa"/>
          <w:trHeight w:val="144"/>
        </w:trPr>
        <w:tc>
          <w:tcPr>
            <w:cnfStyle w:val="001000000000" w:firstRow="0" w:lastRow="0" w:firstColumn="1" w:lastColumn="0" w:oddVBand="0" w:evenVBand="0" w:oddHBand="0" w:evenHBand="0" w:firstRowFirstColumn="0" w:firstRowLastColumn="0" w:lastRowFirstColumn="0" w:lastRowLastColumn="0"/>
            <w:tcW w:w="471" w:type="dxa"/>
            <w:shd w:val="clear" w:color="auto" w:fill="D9D9D9" w:themeFill="background1" w:themeFillShade="D9"/>
          </w:tcPr>
          <w:p w14:paraId="6E9CB29A" w14:textId="77777777" w:rsidR="002D3570" w:rsidRPr="006E19A0" w:rsidRDefault="002D3570" w:rsidP="007513F4">
            <w:r w:rsidRPr="006E19A0">
              <w:t>4</w:t>
            </w:r>
          </w:p>
        </w:tc>
        <w:tc>
          <w:tcPr>
            <w:tcW w:w="9177" w:type="dxa"/>
            <w:shd w:val="clear" w:color="auto" w:fill="F2F2F2" w:themeFill="background1" w:themeFillShade="F2"/>
          </w:tcPr>
          <w:p w14:paraId="0C7CBB74" w14:textId="77777777" w:rsidR="002D3570" w:rsidRPr="006E19A0" w:rsidRDefault="002D3570" w:rsidP="007513F4">
            <w:pPr>
              <w:cnfStyle w:val="000000010000" w:firstRow="0" w:lastRow="0" w:firstColumn="0" w:lastColumn="0" w:oddVBand="0" w:evenVBand="0" w:oddHBand="0" w:evenHBand="1" w:firstRowFirstColumn="0" w:firstRowLastColumn="0" w:lastRowFirstColumn="0" w:lastRowLastColumn="0"/>
            </w:pPr>
            <w:r w:rsidRPr="006E19A0">
              <w:t xml:space="preserve">Ranking members of the joint standing committee of the CGA with knowledge related to energy </w:t>
            </w:r>
          </w:p>
        </w:tc>
      </w:tr>
      <w:tr w:rsidR="002D3570" w:rsidRPr="006E19A0" w14:paraId="7F1ADCA3" w14:textId="77777777" w:rsidTr="00CC33D6">
        <w:trPr>
          <w:gridAfter w:val="1"/>
          <w:wAfter w:w="42" w:type="dxa"/>
          <w:trHeight w:val="144"/>
        </w:trPr>
        <w:tc>
          <w:tcPr>
            <w:cnfStyle w:val="001000000000" w:firstRow="0" w:lastRow="0" w:firstColumn="1" w:lastColumn="0" w:oddVBand="0" w:evenVBand="0" w:oddHBand="0" w:evenHBand="0" w:firstRowFirstColumn="0" w:firstRowLastColumn="0" w:lastRowFirstColumn="0" w:lastRowLastColumn="0"/>
            <w:tcW w:w="471" w:type="dxa"/>
            <w:shd w:val="clear" w:color="auto" w:fill="D9D9D9" w:themeFill="background1" w:themeFillShade="D9"/>
          </w:tcPr>
          <w:p w14:paraId="569DE284" w14:textId="77777777" w:rsidR="002D3570" w:rsidRPr="006E19A0" w:rsidRDefault="002D3570" w:rsidP="007513F4">
            <w:r w:rsidRPr="006E19A0">
              <w:t>5</w:t>
            </w:r>
          </w:p>
        </w:tc>
        <w:tc>
          <w:tcPr>
            <w:tcW w:w="9177" w:type="dxa"/>
            <w:shd w:val="clear" w:color="auto" w:fill="F2F2F2" w:themeFill="background1" w:themeFillShade="F2"/>
          </w:tcPr>
          <w:p w14:paraId="0207C4F0" w14:textId="77777777" w:rsidR="002D3570" w:rsidRPr="006E19A0" w:rsidRDefault="002D3570" w:rsidP="007513F4">
            <w:pPr>
              <w:cnfStyle w:val="000000000000" w:firstRow="0" w:lastRow="0" w:firstColumn="0" w:lastColumn="0" w:oddVBand="0" w:evenVBand="0" w:oddHBand="0" w:evenHBand="0" w:firstRowFirstColumn="0" w:firstRowLastColumn="0" w:lastRowFirstColumn="0" w:lastRowLastColumn="0"/>
            </w:pPr>
            <w:r w:rsidRPr="006E19A0">
              <w:t>Commissioner of Energy and Environmental Protection</w:t>
            </w:r>
          </w:p>
        </w:tc>
      </w:tr>
      <w:tr w:rsidR="002D3570" w:rsidRPr="006E19A0" w14:paraId="782C67BD" w14:textId="77777777" w:rsidTr="00CC33D6">
        <w:trPr>
          <w:gridAfter w:val="1"/>
          <w:cnfStyle w:val="000000010000" w:firstRow="0" w:lastRow="0" w:firstColumn="0" w:lastColumn="0" w:oddVBand="0" w:evenVBand="0" w:oddHBand="0" w:evenHBand="1" w:firstRowFirstColumn="0" w:firstRowLastColumn="0" w:lastRowFirstColumn="0" w:lastRowLastColumn="0"/>
          <w:wAfter w:w="42" w:type="dxa"/>
          <w:trHeight w:val="144"/>
        </w:trPr>
        <w:tc>
          <w:tcPr>
            <w:cnfStyle w:val="001000000000" w:firstRow="0" w:lastRow="0" w:firstColumn="1" w:lastColumn="0" w:oddVBand="0" w:evenVBand="0" w:oddHBand="0" w:evenHBand="0" w:firstRowFirstColumn="0" w:firstRowLastColumn="0" w:lastRowFirstColumn="0" w:lastRowLastColumn="0"/>
            <w:tcW w:w="471" w:type="dxa"/>
            <w:shd w:val="clear" w:color="auto" w:fill="D9D9D9" w:themeFill="background1" w:themeFillShade="D9"/>
          </w:tcPr>
          <w:p w14:paraId="448F54ED" w14:textId="77777777" w:rsidR="002D3570" w:rsidRPr="006E19A0" w:rsidRDefault="002D3570" w:rsidP="007513F4">
            <w:r w:rsidRPr="006E19A0">
              <w:t>6</w:t>
            </w:r>
          </w:p>
        </w:tc>
        <w:tc>
          <w:tcPr>
            <w:tcW w:w="9177" w:type="dxa"/>
            <w:shd w:val="clear" w:color="auto" w:fill="F2F2F2" w:themeFill="background1" w:themeFillShade="F2"/>
          </w:tcPr>
          <w:p w14:paraId="49B9CE4E" w14:textId="77777777" w:rsidR="002D3570" w:rsidRPr="006E19A0" w:rsidRDefault="002D3570" w:rsidP="007513F4">
            <w:pPr>
              <w:cnfStyle w:val="000000010000" w:firstRow="0" w:lastRow="0" w:firstColumn="0" w:lastColumn="0" w:oddVBand="0" w:evenVBand="0" w:oddHBand="0" w:evenHBand="1" w:firstRowFirstColumn="0" w:firstRowLastColumn="0" w:lastRowFirstColumn="0" w:lastRowLastColumn="0"/>
            </w:pPr>
            <w:r w:rsidRPr="006E19A0">
              <w:t>Secretary of the Office of Policy and Management</w:t>
            </w:r>
          </w:p>
        </w:tc>
      </w:tr>
      <w:tr w:rsidR="002D3570" w:rsidRPr="006E19A0" w14:paraId="0863C8D5" w14:textId="77777777" w:rsidTr="00CC33D6">
        <w:trPr>
          <w:gridAfter w:val="1"/>
          <w:wAfter w:w="42" w:type="dxa"/>
          <w:trHeight w:val="307"/>
        </w:trPr>
        <w:tc>
          <w:tcPr>
            <w:cnfStyle w:val="001000000000" w:firstRow="0" w:lastRow="0" w:firstColumn="1" w:lastColumn="0" w:oddVBand="0" w:evenVBand="0" w:oddHBand="0" w:evenHBand="0" w:firstRowFirstColumn="0" w:firstRowLastColumn="0" w:lastRowFirstColumn="0" w:lastRowLastColumn="0"/>
            <w:tcW w:w="471" w:type="dxa"/>
            <w:shd w:val="clear" w:color="auto" w:fill="D9D9D9" w:themeFill="background1" w:themeFillShade="D9"/>
          </w:tcPr>
          <w:p w14:paraId="5A94C2F5" w14:textId="77777777" w:rsidR="002D3570" w:rsidRPr="006E19A0" w:rsidRDefault="002D3570" w:rsidP="007513F4">
            <w:r w:rsidRPr="006E19A0">
              <w:t>7</w:t>
            </w:r>
          </w:p>
        </w:tc>
        <w:tc>
          <w:tcPr>
            <w:tcW w:w="9177" w:type="dxa"/>
            <w:shd w:val="clear" w:color="auto" w:fill="F2F2F2" w:themeFill="background1" w:themeFillShade="F2"/>
          </w:tcPr>
          <w:p w14:paraId="1808103E" w14:textId="77777777" w:rsidR="002D3570" w:rsidRPr="006E19A0" w:rsidRDefault="002D3570" w:rsidP="007513F4">
            <w:pPr>
              <w:cnfStyle w:val="000000000000" w:firstRow="0" w:lastRow="0" w:firstColumn="0" w:lastColumn="0" w:oddVBand="0" w:evenVBand="0" w:oddHBand="0" w:evenHBand="0" w:firstRowFirstColumn="0" w:firstRowLastColumn="0" w:lastRowFirstColumn="0" w:lastRowLastColumn="0"/>
            </w:pPr>
            <w:r w:rsidRPr="006E19A0">
              <w:t>Chairperson of the Public Utilities Authority</w:t>
            </w:r>
          </w:p>
        </w:tc>
      </w:tr>
      <w:tr w:rsidR="002D3570" w:rsidRPr="006E19A0" w14:paraId="5F7EA39C" w14:textId="77777777" w:rsidTr="00CC33D6">
        <w:trPr>
          <w:gridAfter w:val="1"/>
          <w:cnfStyle w:val="000000010000" w:firstRow="0" w:lastRow="0" w:firstColumn="0" w:lastColumn="0" w:oddVBand="0" w:evenVBand="0" w:oddHBand="0" w:evenHBand="1" w:firstRowFirstColumn="0" w:firstRowLastColumn="0" w:lastRowFirstColumn="0" w:lastRowLastColumn="0"/>
          <w:wAfter w:w="42" w:type="dxa"/>
          <w:trHeight w:val="144"/>
        </w:trPr>
        <w:tc>
          <w:tcPr>
            <w:cnfStyle w:val="001000000000" w:firstRow="0" w:lastRow="0" w:firstColumn="1" w:lastColumn="0" w:oddVBand="0" w:evenVBand="0" w:oddHBand="0" w:evenHBand="0" w:firstRowFirstColumn="0" w:firstRowLastColumn="0" w:lastRowFirstColumn="0" w:lastRowLastColumn="0"/>
            <w:tcW w:w="471" w:type="dxa"/>
            <w:shd w:val="clear" w:color="auto" w:fill="D9D9D9" w:themeFill="background1" w:themeFillShade="D9"/>
          </w:tcPr>
          <w:p w14:paraId="771C5098" w14:textId="77777777" w:rsidR="002D3570" w:rsidRPr="006E19A0" w:rsidRDefault="002D3570" w:rsidP="007513F4">
            <w:r w:rsidRPr="006E19A0">
              <w:t>8</w:t>
            </w:r>
          </w:p>
        </w:tc>
        <w:tc>
          <w:tcPr>
            <w:tcW w:w="9177" w:type="dxa"/>
            <w:shd w:val="clear" w:color="auto" w:fill="F2F2F2" w:themeFill="background1" w:themeFillShade="F2"/>
          </w:tcPr>
          <w:p w14:paraId="144CC06C" w14:textId="77777777" w:rsidR="002D3570" w:rsidRPr="006E19A0" w:rsidRDefault="002D3570" w:rsidP="007513F4">
            <w:pPr>
              <w:cnfStyle w:val="000000010000" w:firstRow="0" w:lastRow="0" w:firstColumn="0" w:lastColumn="0" w:oddVBand="0" w:evenVBand="0" w:oddHBand="0" w:evenHBand="1" w:firstRowFirstColumn="0" w:firstRowLastColumn="0" w:lastRowFirstColumn="0" w:lastRowLastColumn="0"/>
            </w:pPr>
            <w:r w:rsidRPr="006E19A0">
              <w:t xml:space="preserve">Town leader of a member town of Connecticut Conference of Municipalities </w:t>
            </w:r>
          </w:p>
        </w:tc>
      </w:tr>
      <w:tr w:rsidR="002D3570" w:rsidRPr="006E19A0" w14:paraId="6E5A5B96" w14:textId="77777777" w:rsidTr="00CC33D6">
        <w:trPr>
          <w:gridAfter w:val="1"/>
          <w:wAfter w:w="42" w:type="dxa"/>
          <w:trHeight w:val="144"/>
        </w:trPr>
        <w:tc>
          <w:tcPr>
            <w:cnfStyle w:val="001000000000" w:firstRow="0" w:lastRow="0" w:firstColumn="1" w:lastColumn="0" w:oddVBand="0" w:evenVBand="0" w:oddHBand="0" w:evenHBand="0" w:firstRowFirstColumn="0" w:firstRowLastColumn="0" w:lastRowFirstColumn="0" w:lastRowLastColumn="0"/>
            <w:tcW w:w="471" w:type="dxa"/>
            <w:shd w:val="clear" w:color="auto" w:fill="D9D9D9" w:themeFill="background1" w:themeFillShade="D9"/>
          </w:tcPr>
          <w:p w14:paraId="1857703D" w14:textId="77777777" w:rsidR="002D3570" w:rsidRPr="006E19A0" w:rsidRDefault="002D3570" w:rsidP="007513F4">
            <w:r w:rsidRPr="006E19A0">
              <w:t>9</w:t>
            </w:r>
          </w:p>
        </w:tc>
        <w:tc>
          <w:tcPr>
            <w:tcW w:w="9177" w:type="dxa"/>
            <w:shd w:val="clear" w:color="auto" w:fill="F2F2F2" w:themeFill="background1" w:themeFillShade="F2"/>
          </w:tcPr>
          <w:p w14:paraId="6D79A275" w14:textId="77777777" w:rsidR="002D3570" w:rsidRPr="006E19A0" w:rsidRDefault="002D3570" w:rsidP="007513F4">
            <w:pPr>
              <w:cnfStyle w:val="000000000000" w:firstRow="0" w:lastRow="0" w:firstColumn="0" w:lastColumn="0" w:oddVBand="0" w:evenVBand="0" w:oddHBand="0" w:evenHBand="0" w:firstRowFirstColumn="0" w:firstRowLastColumn="0" w:lastRowFirstColumn="0" w:lastRowLastColumn="0"/>
            </w:pPr>
            <w:r w:rsidRPr="006E19A0">
              <w:t>Town leader of a member town of Connecticut Council of Small Towns</w:t>
            </w:r>
          </w:p>
        </w:tc>
      </w:tr>
      <w:tr w:rsidR="002D3570" w:rsidRPr="006E19A0" w14:paraId="38EEADBE" w14:textId="77777777" w:rsidTr="00CC33D6">
        <w:trPr>
          <w:gridAfter w:val="1"/>
          <w:cnfStyle w:val="000000010000" w:firstRow="0" w:lastRow="0" w:firstColumn="0" w:lastColumn="0" w:oddVBand="0" w:evenVBand="0" w:oddHBand="0" w:evenHBand="1" w:firstRowFirstColumn="0" w:firstRowLastColumn="0" w:lastRowFirstColumn="0" w:lastRowLastColumn="0"/>
          <w:wAfter w:w="42" w:type="dxa"/>
          <w:trHeight w:val="144"/>
        </w:trPr>
        <w:tc>
          <w:tcPr>
            <w:cnfStyle w:val="001000000000" w:firstRow="0" w:lastRow="0" w:firstColumn="1" w:lastColumn="0" w:oddVBand="0" w:evenVBand="0" w:oddHBand="0" w:evenHBand="0" w:firstRowFirstColumn="0" w:firstRowLastColumn="0" w:lastRowFirstColumn="0" w:lastRowLastColumn="0"/>
            <w:tcW w:w="471" w:type="dxa"/>
            <w:shd w:val="clear" w:color="auto" w:fill="D9D9D9" w:themeFill="background1" w:themeFillShade="D9"/>
          </w:tcPr>
          <w:p w14:paraId="1B7877B7" w14:textId="77777777" w:rsidR="002D3570" w:rsidRPr="006E19A0" w:rsidRDefault="002D3570" w:rsidP="007513F4">
            <w:r w:rsidRPr="006E19A0">
              <w:t>10</w:t>
            </w:r>
          </w:p>
        </w:tc>
        <w:tc>
          <w:tcPr>
            <w:tcW w:w="9177" w:type="dxa"/>
            <w:shd w:val="clear" w:color="auto" w:fill="F2F2F2" w:themeFill="background1" w:themeFillShade="F2"/>
          </w:tcPr>
          <w:p w14:paraId="77956272" w14:textId="77777777" w:rsidR="002D3570" w:rsidRPr="006E19A0" w:rsidRDefault="002D3570" w:rsidP="007513F4">
            <w:pPr>
              <w:cnfStyle w:val="000000010000" w:firstRow="0" w:lastRow="0" w:firstColumn="0" w:lastColumn="0" w:oddVBand="0" w:evenVBand="0" w:oddHBand="0" w:evenHBand="1" w:firstRowFirstColumn="0" w:firstRowLastColumn="0" w:lastRowFirstColumn="0" w:lastRowLastColumn="0"/>
            </w:pPr>
            <w:r w:rsidRPr="006E19A0">
              <w:t>Farming Industry representative</w:t>
            </w:r>
          </w:p>
        </w:tc>
      </w:tr>
      <w:tr w:rsidR="002D3570" w:rsidRPr="006E19A0" w14:paraId="1D5D1867" w14:textId="77777777" w:rsidTr="00CC33D6">
        <w:trPr>
          <w:gridAfter w:val="1"/>
          <w:wAfter w:w="42" w:type="dxa"/>
          <w:trHeight w:val="144"/>
        </w:trPr>
        <w:tc>
          <w:tcPr>
            <w:cnfStyle w:val="001000000000" w:firstRow="0" w:lastRow="0" w:firstColumn="1" w:lastColumn="0" w:oddVBand="0" w:evenVBand="0" w:oddHBand="0" w:evenHBand="0" w:firstRowFirstColumn="0" w:firstRowLastColumn="0" w:lastRowFirstColumn="0" w:lastRowLastColumn="0"/>
            <w:tcW w:w="471" w:type="dxa"/>
            <w:shd w:val="clear" w:color="auto" w:fill="D9D9D9" w:themeFill="background1" w:themeFillShade="D9"/>
          </w:tcPr>
          <w:p w14:paraId="378C3574" w14:textId="77777777" w:rsidR="002D3570" w:rsidRPr="006E19A0" w:rsidRDefault="002D3570" w:rsidP="007513F4">
            <w:r w:rsidRPr="006E19A0">
              <w:t>11</w:t>
            </w:r>
          </w:p>
        </w:tc>
        <w:tc>
          <w:tcPr>
            <w:tcW w:w="9177" w:type="dxa"/>
            <w:shd w:val="clear" w:color="auto" w:fill="F2F2F2" w:themeFill="background1" w:themeFillShade="F2"/>
          </w:tcPr>
          <w:p w14:paraId="18EB7E68" w14:textId="77777777" w:rsidR="002D3570" w:rsidRPr="006E19A0" w:rsidRDefault="002D3570" w:rsidP="007513F4">
            <w:pPr>
              <w:cnfStyle w:val="000000000000" w:firstRow="0" w:lastRow="0" w:firstColumn="0" w:lastColumn="0" w:oddVBand="0" w:evenVBand="0" w:oddHBand="0" w:evenHBand="0" w:firstRowFirstColumn="0" w:firstRowLastColumn="0" w:lastRowFirstColumn="0" w:lastRowLastColumn="0"/>
            </w:pPr>
            <w:r w:rsidRPr="006E19A0">
              <w:t xml:space="preserve">Owner of an Anaerobic Digester (AD) for food waste </w:t>
            </w:r>
          </w:p>
        </w:tc>
      </w:tr>
      <w:tr w:rsidR="002D3570" w:rsidRPr="006E19A0" w14:paraId="5AAE50A0" w14:textId="77777777" w:rsidTr="00CC33D6">
        <w:trPr>
          <w:gridAfter w:val="1"/>
          <w:cnfStyle w:val="000000010000" w:firstRow="0" w:lastRow="0" w:firstColumn="0" w:lastColumn="0" w:oddVBand="0" w:evenVBand="0" w:oddHBand="0" w:evenHBand="1" w:firstRowFirstColumn="0" w:firstRowLastColumn="0" w:lastRowFirstColumn="0" w:lastRowLastColumn="0"/>
          <w:wAfter w:w="42" w:type="dxa"/>
          <w:trHeight w:val="144"/>
        </w:trPr>
        <w:tc>
          <w:tcPr>
            <w:cnfStyle w:val="001000000000" w:firstRow="0" w:lastRow="0" w:firstColumn="1" w:lastColumn="0" w:oddVBand="0" w:evenVBand="0" w:oddHBand="0" w:evenHBand="0" w:firstRowFirstColumn="0" w:firstRowLastColumn="0" w:lastRowFirstColumn="0" w:lastRowLastColumn="0"/>
            <w:tcW w:w="471" w:type="dxa"/>
            <w:shd w:val="clear" w:color="auto" w:fill="D9D9D9" w:themeFill="background1" w:themeFillShade="D9"/>
          </w:tcPr>
          <w:p w14:paraId="177DD8E0" w14:textId="77777777" w:rsidR="002D3570" w:rsidRPr="006E19A0" w:rsidRDefault="002D3570" w:rsidP="007513F4">
            <w:r w:rsidRPr="006E19A0">
              <w:t>12</w:t>
            </w:r>
          </w:p>
        </w:tc>
        <w:tc>
          <w:tcPr>
            <w:tcW w:w="9177" w:type="dxa"/>
            <w:shd w:val="clear" w:color="auto" w:fill="F2F2F2" w:themeFill="background1" w:themeFillShade="F2"/>
          </w:tcPr>
          <w:p w14:paraId="51F5B85B" w14:textId="77777777" w:rsidR="002D3570" w:rsidRPr="006E19A0" w:rsidRDefault="002D3570" w:rsidP="007513F4">
            <w:pPr>
              <w:cnfStyle w:val="000000010000" w:firstRow="0" w:lastRow="0" w:firstColumn="0" w:lastColumn="0" w:oddVBand="0" w:evenVBand="0" w:oddHBand="0" w:evenHBand="1" w:firstRowFirstColumn="0" w:firstRowLastColumn="0" w:lastRowFirstColumn="0" w:lastRowLastColumn="0"/>
            </w:pPr>
            <w:r w:rsidRPr="006E19A0">
              <w:t>Director of the Materials Innovation and Recycling Authority (MIRA)</w:t>
            </w:r>
          </w:p>
        </w:tc>
      </w:tr>
      <w:tr w:rsidR="002D3570" w:rsidRPr="006E19A0" w14:paraId="537CB889" w14:textId="77777777" w:rsidTr="00CC33D6">
        <w:trPr>
          <w:gridAfter w:val="1"/>
          <w:wAfter w:w="42" w:type="dxa"/>
          <w:trHeight w:val="144"/>
        </w:trPr>
        <w:tc>
          <w:tcPr>
            <w:cnfStyle w:val="001000000000" w:firstRow="0" w:lastRow="0" w:firstColumn="1" w:lastColumn="0" w:oddVBand="0" w:evenVBand="0" w:oddHBand="0" w:evenHBand="0" w:firstRowFirstColumn="0" w:firstRowLastColumn="0" w:lastRowFirstColumn="0" w:lastRowLastColumn="0"/>
            <w:tcW w:w="471" w:type="dxa"/>
            <w:shd w:val="clear" w:color="auto" w:fill="D9D9D9" w:themeFill="background1" w:themeFillShade="D9"/>
          </w:tcPr>
          <w:p w14:paraId="6C57F499" w14:textId="77777777" w:rsidR="002D3570" w:rsidRPr="006E19A0" w:rsidRDefault="002D3570" w:rsidP="007513F4">
            <w:r w:rsidRPr="006E19A0">
              <w:t>13</w:t>
            </w:r>
          </w:p>
        </w:tc>
        <w:tc>
          <w:tcPr>
            <w:tcW w:w="9177" w:type="dxa"/>
            <w:shd w:val="clear" w:color="auto" w:fill="F2F2F2" w:themeFill="background1" w:themeFillShade="F2"/>
          </w:tcPr>
          <w:p w14:paraId="054F6FB2" w14:textId="77777777" w:rsidR="002D3570" w:rsidRPr="006E19A0" w:rsidRDefault="002D3570" w:rsidP="007513F4">
            <w:pPr>
              <w:cnfStyle w:val="000000000000" w:firstRow="0" w:lastRow="0" w:firstColumn="0" w:lastColumn="0" w:oddVBand="0" w:evenVBand="0" w:oddHBand="0" w:evenHBand="0" w:firstRowFirstColumn="0" w:firstRowLastColumn="0" w:lastRowFirstColumn="0" w:lastRowLastColumn="0"/>
            </w:pPr>
            <w:r w:rsidRPr="006E19A0">
              <w:t>Operator of a Material Recovery Facilities (MRF)</w:t>
            </w:r>
          </w:p>
        </w:tc>
      </w:tr>
      <w:tr w:rsidR="002D3570" w:rsidRPr="006E19A0" w14:paraId="27B369FB" w14:textId="77777777" w:rsidTr="00CC33D6">
        <w:trPr>
          <w:gridAfter w:val="1"/>
          <w:cnfStyle w:val="000000010000" w:firstRow="0" w:lastRow="0" w:firstColumn="0" w:lastColumn="0" w:oddVBand="0" w:evenVBand="0" w:oddHBand="0" w:evenHBand="1" w:firstRowFirstColumn="0" w:firstRowLastColumn="0" w:lastRowFirstColumn="0" w:lastRowLastColumn="0"/>
          <w:wAfter w:w="42" w:type="dxa"/>
          <w:trHeight w:val="144"/>
        </w:trPr>
        <w:tc>
          <w:tcPr>
            <w:cnfStyle w:val="001000000000" w:firstRow="0" w:lastRow="0" w:firstColumn="1" w:lastColumn="0" w:oddVBand="0" w:evenVBand="0" w:oddHBand="0" w:evenHBand="0" w:firstRowFirstColumn="0" w:firstRowLastColumn="0" w:lastRowFirstColumn="0" w:lastRowLastColumn="0"/>
            <w:tcW w:w="471" w:type="dxa"/>
            <w:shd w:val="clear" w:color="auto" w:fill="D9D9D9" w:themeFill="background1" w:themeFillShade="D9"/>
          </w:tcPr>
          <w:p w14:paraId="72C03470" w14:textId="77777777" w:rsidR="002D3570" w:rsidRPr="006E19A0" w:rsidRDefault="002D3570" w:rsidP="007513F4">
            <w:r w:rsidRPr="006E19A0">
              <w:t>14</w:t>
            </w:r>
          </w:p>
        </w:tc>
        <w:tc>
          <w:tcPr>
            <w:tcW w:w="9177" w:type="dxa"/>
            <w:shd w:val="clear" w:color="auto" w:fill="F2F2F2" w:themeFill="background1" w:themeFillShade="F2"/>
          </w:tcPr>
          <w:p w14:paraId="52A89044" w14:textId="77777777" w:rsidR="002D3570" w:rsidRPr="006E19A0" w:rsidRDefault="002D3570" w:rsidP="007513F4">
            <w:pPr>
              <w:cnfStyle w:val="000000010000" w:firstRow="0" w:lastRow="0" w:firstColumn="0" w:lastColumn="0" w:oddVBand="0" w:evenVBand="0" w:oddHBand="0" w:evenHBand="1" w:firstRowFirstColumn="0" w:firstRowLastColumn="0" w:lastRowFirstColumn="0" w:lastRowLastColumn="0"/>
            </w:pPr>
            <w:r w:rsidRPr="006E19A0">
              <w:t>Operator of a MIRA regional transfer station (TS)</w:t>
            </w:r>
          </w:p>
        </w:tc>
      </w:tr>
      <w:tr w:rsidR="002D3570" w:rsidRPr="006E19A0" w14:paraId="07642217" w14:textId="77777777" w:rsidTr="00CC33D6">
        <w:trPr>
          <w:gridAfter w:val="1"/>
          <w:wAfter w:w="42" w:type="dxa"/>
          <w:trHeight w:val="144"/>
        </w:trPr>
        <w:tc>
          <w:tcPr>
            <w:cnfStyle w:val="001000000000" w:firstRow="0" w:lastRow="0" w:firstColumn="1" w:lastColumn="0" w:oddVBand="0" w:evenVBand="0" w:oddHBand="0" w:evenHBand="0" w:firstRowFirstColumn="0" w:firstRowLastColumn="0" w:lastRowFirstColumn="0" w:lastRowLastColumn="0"/>
            <w:tcW w:w="471" w:type="dxa"/>
            <w:shd w:val="clear" w:color="auto" w:fill="D9D9D9" w:themeFill="background1" w:themeFillShade="D9"/>
          </w:tcPr>
          <w:p w14:paraId="28F57D87" w14:textId="77777777" w:rsidR="002D3570" w:rsidRPr="006E19A0" w:rsidRDefault="002D3570" w:rsidP="007513F4">
            <w:r w:rsidRPr="006E19A0">
              <w:t>15</w:t>
            </w:r>
          </w:p>
        </w:tc>
        <w:tc>
          <w:tcPr>
            <w:tcW w:w="9177" w:type="dxa"/>
            <w:shd w:val="clear" w:color="auto" w:fill="F2F2F2" w:themeFill="background1" w:themeFillShade="F2"/>
          </w:tcPr>
          <w:p w14:paraId="6CDD787C" w14:textId="77777777" w:rsidR="002D3570" w:rsidRPr="006E19A0" w:rsidRDefault="002D3570" w:rsidP="007513F4">
            <w:pPr>
              <w:cnfStyle w:val="000000000000" w:firstRow="0" w:lastRow="0" w:firstColumn="0" w:lastColumn="0" w:oddVBand="0" w:evenVBand="0" w:oddHBand="0" w:evenHBand="0" w:firstRowFirstColumn="0" w:firstRowLastColumn="0" w:lastRowFirstColumn="0" w:lastRowLastColumn="0"/>
            </w:pPr>
            <w:r w:rsidRPr="006E19A0">
              <w:t>Operator of a trash-to-energy facility (WTE)</w:t>
            </w:r>
          </w:p>
        </w:tc>
      </w:tr>
      <w:tr w:rsidR="002D3570" w:rsidRPr="006E19A0" w14:paraId="7B5E436A" w14:textId="77777777" w:rsidTr="00CC33D6">
        <w:trPr>
          <w:gridAfter w:val="1"/>
          <w:cnfStyle w:val="000000010000" w:firstRow="0" w:lastRow="0" w:firstColumn="0" w:lastColumn="0" w:oddVBand="0" w:evenVBand="0" w:oddHBand="0" w:evenHBand="1" w:firstRowFirstColumn="0" w:firstRowLastColumn="0" w:lastRowFirstColumn="0" w:lastRowLastColumn="0"/>
          <w:wAfter w:w="42" w:type="dxa"/>
          <w:trHeight w:val="144"/>
        </w:trPr>
        <w:tc>
          <w:tcPr>
            <w:cnfStyle w:val="001000000000" w:firstRow="0" w:lastRow="0" w:firstColumn="1" w:lastColumn="0" w:oddVBand="0" w:evenVBand="0" w:oddHBand="0" w:evenHBand="0" w:firstRowFirstColumn="0" w:firstRowLastColumn="0" w:lastRowFirstColumn="0" w:lastRowLastColumn="0"/>
            <w:tcW w:w="471" w:type="dxa"/>
            <w:shd w:val="clear" w:color="auto" w:fill="D9D9D9" w:themeFill="background1" w:themeFillShade="D9"/>
          </w:tcPr>
          <w:p w14:paraId="277C7558" w14:textId="77777777" w:rsidR="002D3570" w:rsidRPr="006E19A0" w:rsidRDefault="002D3570" w:rsidP="007513F4">
            <w:r w:rsidRPr="006E19A0">
              <w:t>16</w:t>
            </w:r>
          </w:p>
        </w:tc>
        <w:tc>
          <w:tcPr>
            <w:tcW w:w="9177" w:type="dxa"/>
            <w:shd w:val="clear" w:color="auto" w:fill="F2F2F2" w:themeFill="background1" w:themeFillShade="F2"/>
          </w:tcPr>
          <w:p w14:paraId="6CAE7227" w14:textId="77777777" w:rsidR="002D3570" w:rsidRPr="006E19A0" w:rsidRDefault="002D3570" w:rsidP="007513F4">
            <w:pPr>
              <w:cnfStyle w:val="000000010000" w:firstRow="0" w:lastRow="0" w:firstColumn="0" w:lastColumn="0" w:oddVBand="0" w:evenVBand="0" w:oddHBand="0" w:evenHBand="1" w:firstRowFirstColumn="0" w:firstRowLastColumn="0" w:lastRowFirstColumn="0" w:lastRowLastColumn="0"/>
            </w:pPr>
            <w:r w:rsidRPr="006E19A0">
              <w:t>Member of the National Waste and Recycling Association (NWRA)</w:t>
            </w:r>
          </w:p>
        </w:tc>
      </w:tr>
    </w:tbl>
    <w:p w14:paraId="6A4D4672" w14:textId="77777777" w:rsidR="002D3570" w:rsidRPr="006E19A0" w:rsidRDefault="002D3570" w:rsidP="002D3570"/>
    <w:p w14:paraId="610978DB" w14:textId="77777777" w:rsidR="006C01A8" w:rsidRDefault="006C01A8">
      <w:pPr>
        <w:spacing w:line="240" w:lineRule="auto"/>
        <w:jc w:val="left"/>
        <w:rPr>
          <w:rFonts w:ascii="Georgia" w:eastAsia="MS Gothic" w:hAnsi="Georgia" w:cs="Times New Roman"/>
          <w:b/>
          <w:caps/>
          <w:color w:val="3A3737" w:themeColor="text1"/>
          <w:spacing w:val="12"/>
          <w:sz w:val="21"/>
          <w:szCs w:val="21"/>
        </w:rPr>
      </w:pPr>
      <w:bookmarkStart w:id="120" w:name="_Toc114936546"/>
      <w:r>
        <w:rPr>
          <w:rFonts w:eastAsia="MS Gothic"/>
        </w:rPr>
        <w:br w:type="page"/>
      </w:r>
    </w:p>
    <w:p w14:paraId="319476E1" w14:textId="04287B7A" w:rsidR="002D3570" w:rsidRPr="006E19A0" w:rsidRDefault="00534A65" w:rsidP="00534A65">
      <w:pPr>
        <w:pStyle w:val="Subtitle"/>
      </w:pPr>
      <w:bookmarkStart w:id="121" w:name="_Toc117000347"/>
      <w:bookmarkStart w:id="122" w:name="_Toc117001070"/>
      <w:bookmarkEnd w:id="120"/>
      <w:r>
        <w:t>General Permit Requirements</w:t>
      </w:r>
      <w:bookmarkEnd w:id="121"/>
      <w:bookmarkEnd w:id="122"/>
    </w:p>
    <w:p w14:paraId="27A16C0F" w14:textId="0355210F" w:rsidR="002D3570" w:rsidRDefault="002D3570" w:rsidP="002D3570">
      <w:r w:rsidRPr="006E19A0">
        <w:t>The General Permit (GP) incorporates applicable goals of the CMMS and the Connecticut Coalition of Sustainable Materials Management (CCSMM)</w:t>
      </w:r>
      <w:r w:rsidR="00240A1B" w:rsidRPr="006E19A0">
        <w:t xml:space="preserve">. </w:t>
      </w:r>
      <w:r w:rsidRPr="006E19A0">
        <w:t xml:space="preserve">The GP authorizes construction and operation of eight (8) types of recycling and solid waste material facilities, and processing of over thirty-five (35) types of solid waste material streams. </w:t>
      </w:r>
    </w:p>
    <w:p w14:paraId="163121C7" w14:textId="77777777" w:rsidR="00237C79" w:rsidRPr="006E19A0" w:rsidRDefault="00237C79" w:rsidP="002D3570"/>
    <w:p w14:paraId="76BB3883" w14:textId="1ED8B458" w:rsidR="002D3570" w:rsidRDefault="002D3570" w:rsidP="002D3570">
      <w:r w:rsidRPr="006E19A0">
        <w:t xml:space="preserve">The GP authorizes a Municipal Transfer Station to process a maximum of one thousand (1,000) TPD of solid waste, including recyclables but excluding clean wood, </w:t>
      </w:r>
      <w:r w:rsidR="00D82CB2" w:rsidRPr="006E19A0">
        <w:t>leaves,</w:t>
      </w:r>
      <w:r w:rsidRPr="006E19A0">
        <w:t xml:space="preserve"> and grass. Universal wastes, including mixed batteries, mercury-containing lamps, mercury-containing equipment, and used electronics, are managed according to the terms and requirements established under a General Permit.</w:t>
      </w:r>
      <w:r w:rsidRPr="006E19A0">
        <w:br/>
      </w:r>
      <w:r w:rsidRPr="006E19A0">
        <w:br/>
        <w:t>Municipal transfer stations operate under a general permit issued by DEEP for a specific facility (CGS sec. 22a-208a(i)(I) and sec. 22a-454(e)(I). Any municipality, municipalities or regional authority can seek to construct and/or operate a municipal transfer station under the authority of a General Permit. Transfer Station is defined as any location or structure, whether located on land or water, where more than ten cubic yards of solid waste generated elsewhere may be stored for transfer, or transferred from transportation units and placed in other transportation units for movement to another location, whether or not such waste is stored at the location prior to transfer</w:t>
      </w:r>
      <w:r w:rsidR="00237C79">
        <w:t>.</w:t>
      </w:r>
    </w:p>
    <w:p w14:paraId="22087EB9" w14:textId="77777777" w:rsidR="00237C79" w:rsidRPr="006E19A0" w:rsidRDefault="00237C79" w:rsidP="002D3570"/>
    <w:p w14:paraId="0773FB38" w14:textId="77777777" w:rsidR="002D3570" w:rsidRDefault="002D3570" w:rsidP="002D3570">
      <w:r w:rsidRPr="006E19A0">
        <w:t>General Permit is also required for certain recycling facilities</w:t>
      </w:r>
      <w:r w:rsidRPr="006E19A0">
        <w:rPr>
          <w:vertAlign w:val="superscript"/>
        </w:rPr>
        <w:footnoteReference w:id="25"/>
      </w:r>
      <w:r w:rsidRPr="006E19A0">
        <w:t>. These include:</w:t>
      </w:r>
    </w:p>
    <w:p w14:paraId="550BA998" w14:textId="77777777" w:rsidR="006D61A7" w:rsidRPr="006E19A0" w:rsidRDefault="006D61A7" w:rsidP="002D3570"/>
    <w:p w14:paraId="0779501D" w14:textId="436E58C1" w:rsidR="002D3570" w:rsidRPr="006E19A0" w:rsidRDefault="002D3570" w:rsidP="002D3570">
      <w:pPr>
        <w:pStyle w:val="ListParagraph"/>
        <w:numPr>
          <w:ilvl w:val="0"/>
          <w:numId w:val="22"/>
        </w:numPr>
      </w:pPr>
      <w:r w:rsidRPr="00530CF3">
        <w:rPr>
          <w:b/>
        </w:rPr>
        <w:t>Satellite Drop-Site Facility</w:t>
      </w:r>
      <w:r w:rsidRPr="006E19A0">
        <w:t xml:space="preserve"> where source separated solid waste is collected but not processed and the total storage capacity of all collection containers does not exceed 100 cubic yards. </w:t>
      </w:r>
    </w:p>
    <w:p w14:paraId="181F7C34" w14:textId="4123BC07" w:rsidR="002D3570" w:rsidRPr="006E19A0" w:rsidRDefault="002D3570" w:rsidP="006C01A8">
      <w:pPr>
        <w:pStyle w:val="ListParagraph"/>
        <w:numPr>
          <w:ilvl w:val="0"/>
          <w:numId w:val="22"/>
        </w:numPr>
      </w:pPr>
      <w:r w:rsidRPr="00530CF3">
        <w:rPr>
          <w:b/>
        </w:rPr>
        <w:t>Drop-Site Facility</w:t>
      </w:r>
      <w:r w:rsidRPr="006E19A0">
        <w:t xml:space="preserve"> for source separated solid waste is collected but not processed; yard waste or brush is not accepted. The storage capacity of each collection container does not exceed 40 cubic yards, and the number of collection containers does not exceed three (3) per category of paper, glass, plastic, paper food and beverage containers, and two (2) per category of recyclable solid waste or scrap tires. Universal waste is not included. Approval of Registration and fee are required.</w:t>
      </w:r>
    </w:p>
    <w:p w14:paraId="2EFDEFE6" w14:textId="7D8C7D8F" w:rsidR="002D3570" w:rsidRPr="006E19A0" w:rsidRDefault="002D3570" w:rsidP="002D3570">
      <w:pPr>
        <w:pStyle w:val="ListParagraph"/>
        <w:numPr>
          <w:ilvl w:val="0"/>
          <w:numId w:val="22"/>
        </w:numPr>
      </w:pPr>
      <w:r w:rsidRPr="00530CF3">
        <w:rPr>
          <w:b/>
        </w:rPr>
        <w:t>Recyclable Transfer Facility</w:t>
      </w:r>
      <w:r w:rsidRPr="006E19A0">
        <w:t xml:space="preserve"> is a solid waste facility that is used by solid waste collectors with incidental local residential use for the transfer of recyclables from collection vehicles into collection containers. No processing or sorting of recyclables other than transfer or compaction</w:t>
      </w:r>
      <w:r w:rsidR="007B6AEA" w:rsidRPr="006E19A0">
        <w:t xml:space="preserve">. </w:t>
      </w:r>
      <w:r w:rsidRPr="006E19A0">
        <w:t>The facility is not to exceed 120 cubic yards per category of recyclables may be stored. Approval of Registration and fee are required.</w:t>
      </w:r>
    </w:p>
    <w:p w14:paraId="315CA5E8" w14:textId="5E93A5C8" w:rsidR="002D3570" w:rsidRPr="006E19A0" w:rsidRDefault="002D3570" w:rsidP="002D3570">
      <w:pPr>
        <w:pStyle w:val="ListParagraph"/>
        <w:numPr>
          <w:ilvl w:val="0"/>
          <w:numId w:val="22"/>
        </w:numPr>
      </w:pPr>
      <w:r w:rsidRPr="00530CF3">
        <w:rPr>
          <w:b/>
        </w:rPr>
        <w:t>Limited Processing Recycling Facility</w:t>
      </w:r>
      <w:r w:rsidRPr="006E19A0">
        <w:t xml:space="preserve"> is a solid waste facility that can receive source separated solid waste or commingled recyclables that are collected, sorted and processed. The facility is not to exceed twenty (20) tons per day of accepted materials</w:t>
      </w:r>
      <w:r w:rsidR="00AA59E5" w:rsidRPr="006E19A0">
        <w:t xml:space="preserve">. </w:t>
      </w:r>
      <w:r w:rsidRPr="006E19A0">
        <w:t>Approval of Registration and fee are required.</w:t>
      </w:r>
    </w:p>
    <w:p w14:paraId="4A558D19" w14:textId="77777777" w:rsidR="002D3570" w:rsidRDefault="002D3570" w:rsidP="002D3570">
      <w:pPr>
        <w:pStyle w:val="ListParagraph"/>
        <w:numPr>
          <w:ilvl w:val="0"/>
          <w:numId w:val="22"/>
        </w:numPr>
      </w:pPr>
      <w:r w:rsidRPr="00530CF3">
        <w:rPr>
          <w:b/>
        </w:rPr>
        <w:t>Single Item Recycling Facility</w:t>
      </w:r>
      <w:r w:rsidRPr="006E19A0">
        <w:t xml:space="preserve"> is a solid waste facility that accepts a single category of recyclable solid waste for processing of no more than 100 tons per day of recyclables. Approval of Registration and fee are required.</w:t>
      </w:r>
    </w:p>
    <w:p w14:paraId="4F12CD6D" w14:textId="77777777" w:rsidR="002D3570" w:rsidRPr="006E19A0" w:rsidRDefault="002D3570" w:rsidP="002D3570"/>
    <w:p w14:paraId="08AE6D56" w14:textId="77777777" w:rsidR="008B518E" w:rsidRDefault="008B518E">
      <w:pPr>
        <w:spacing w:line="240" w:lineRule="auto"/>
        <w:jc w:val="left"/>
        <w:rPr>
          <w:rFonts w:ascii="Georgia" w:eastAsia="MS Gothic" w:hAnsi="Georgia" w:cs="Times New Roman"/>
          <w:b/>
          <w:caps/>
          <w:color w:val="3A3737" w:themeColor="text1"/>
          <w:spacing w:val="12"/>
          <w:sz w:val="21"/>
          <w:szCs w:val="21"/>
        </w:rPr>
      </w:pPr>
      <w:r>
        <w:rPr>
          <w:rFonts w:eastAsia="MS Gothic"/>
        </w:rPr>
        <w:br w:type="page"/>
      </w:r>
    </w:p>
    <w:p w14:paraId="1F5FA42B" w14:textId="436EB1F9" w:rsidR="002D3570" w:rsidRPr="006E19A0" w:rsidRDefault="002D3570" w:rsidP="00534A65">
      <w:pPr>
        <w:pStyle w:val="Subtitle"/>
      </w:pPr>
      <w:bookmarkStart w:id="123" w:name="_Toc117000348"/>
      <w:bookmarkStart w:id="124" w:name="_Toc117001071"/>
      <w:r w:rsidRPr="006E19A0">
        <w:t>Environmental Justice</w:t>
      </w:r>
      <w:bookmarkEnd w:id="123"/>
      <w:bookmarkEnd w:id="124"/>
    </w:p>
    <w:p w14:paraId="3329C9BB" w14:textId="44FEAB49" w:rsidR="002D3570" w:rsidRPr="006E19A0" w:rsidRDefault="00912EC6" w:rsidP="002D3570">
      <w:r w:rsidRPr="006E19A0">
        <w:rPr>
          <w:noProof/>
          <w:color w:val="auto"/>
        </w:rPr>
        <w:drawing>
          <wp:anchor distT="0" distB="0" distL="114300" distR="114300" simplePos="0" relativeHeight="251658246" behindDoc="0" locked="0" layoutInCell="1" allowOverlap="1" wp14:anchorId="0FEDE9F7" wp14:editId="3040F026">
            <wp:simplePos x="0" y="0"/>
            <wp:positionH relativeFrom="margin">
              <wp:posOffset>89644</wp:posOffset>
            </wp:positionH>
            <wp:positionV relativeFrom="paragraph">
              <wp:posOffset>1506255</wp:posOffset>
            </wp:positionV>
            <wp:extent cx="6315075" cy="4809490"/>
            <wp:effectExtent l="12700" t="12700" r="9525" b="16510"/>
            <wp:wrapTopAndBottom/>
            <wp:docPr id="61" name="Picture 6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diagram&#10;&#10;Description automatically generated"/>
                    <pic:cNvPicPr>
                      <a:picLocks noChangeAspect="1" noChangeArrowheads="1"/>
                    </pic:cNvPicPr>
                  </pic:nvPicPr>
                  <pic:blipFill rotWithShape="1">
                    <a:blip r:embed="rId41">
                      <a:extLst>
                        <a:ext uri="{28A0092B-C50C-407E-A947-70E740481C1C}">
                          <a14:useLocalDpi xmlns:a14="http://schemas.microsoft.com/office/drawing/2010/main" val="0"/>
                        </a:ext>
                      </a:extLst>
                    </a:blip>
                    <a:srcRect l="4105" t="8751" r="3322"/>
                    <a:stretch/>
                  </pic:blipFill>
                  <pic:spPr bwMode="auto">
                    <a:xfrm>
                      <a:off x="0" y="0"/>
                      <a:ext cx="6315075" cy="4809490"/>
                    </a:xfrm>
                    <a:prstGeom prst="rect">
                      <a:avLst/>
                    </a:prstGeom>
                    <a:noFill/>
                    <a:ln>
                      <a:solidFill>
                        <a:srgbClr val="00206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3570" w:rsidRPr="006E19A0">
        <w:t>The CT DEEP’s  environmental justice (EJ) policy states that no population, due to racial or economic makeup should a bear a disproportionate share of the risks and consequences of environmental pollution or denied access to environmental benefits.</w:t>
      </w:r>
      <w:r w:rsidR="002D3570" w:rsidRPr="006E19A0">
        <w:rPr>
          <w:vertAlign w:val="superscript"/>
        </w:rPr>
        <w:footnoteReference w:id="26"/>
      </w:r>
      <w:r w:rsidR="002D3570" w:rsidRPr="006E19A0">
        <w:t xml:space="preserve">   Environmental justice affecting facilities includes sludge or MSW WTE, waste-water treatment facilities (WWTF), intermediate processing facilities, volume reduction facility or multi-town recycling facilities, new or expanded landfill (HB No. 7008)</w:t>
      </w:r>
      <w:r w:rsidR="002D3570" w:rsidRPr="006E19A0">
        <w:rPr>
          <w:vertAlign w:val="superscript"/>
        </w:rPr>
        <w:footnoteReference w:id="27"/>
      </w:r>
      <w:r w:rsidR="002D3570" w:rsidRPr="006E19A0">
        <w:t xml:space="preserve">.  </w:t>
      </w:r>
    </w:p>
    <w:p w14:paraId="06F52A3C" w14:textId="3D69A8C4" w:rsidR="002D3570" w:rsidRPr="006E19A0" w:rsidRDefault="00C11C95" w:rsidP="002D3570">
      <w:pPr>
        <w:pStyle w:val="Caption"/>
      </w:pPr>
      <w:r>
        <w:rPr>
          <w:noProof/>
        </w:rPr>
        <mc:AlternateContent>
          <mc:Choice Requires="wps">
            <w:drawing>
              <wp:anchor distT="0" distB="0" distL="114300" distR="114300" simplePos="0" relativeHeight="251658253" behindDoc="0" locked="0" layoutInCell="1" allowOverlap="1" wp14:anchorId="51F1BECD" wp14:editId="4677AE12">
                <wp:simplePos x="0" y="0"/>
                <wp:positionH relativeFrom="column">
                  <wp:posOffset>55245</wp:posOffset>
                </wp:positionH>
                <wp:positionV relativeFrom="paragraph">
                  <wp:posOffset>234533</wp:posOffset>
                </wp:positionV>
                <wp:extent cx="6315075" cy="190500"/>
                <wp:effectExtent l="0" t="0" r="9525" b="0"/>
                <wp:wrapTopAndBottom/>
                <wp:docPr id="15" name="Text Box 15"/>
                <wp:cNvGraphicFramePr/>
                <a:graphic xmlns:a="http://schemas.openxmlformats.org/drawingml/2006/main">
                  <a:graphicData uri="http://schemas.microsoft.com/office/word/2010/wordprocessingShape">
                    <wps:wsp>
                      <wps:cNvSpPr txBox="1"/>
                      <wps:spPr>
                        <a:xfrm>
                          <a:off x="0" y="0"/>
                          <a:ext cx="6315075" cy="190500"/>
                        </a:xfrm>
                        <a:prstGeom prst="rect">
                          <a:avLst/>
                        </a:prstGeom>
                        <a:solidFill>
                          <a:prstClr val="white"/>
                        </a:solidFill>
                        <a:ln>
                          <a:noFill/>
                        </a:ln>
                      </wps:spPr>
                      <wps:txbx>
                        <w:txbxContent>
                          <w:p w14:paraId="4BF56362" w14:textId="3F364ABE" w:rsidR="00912EC6" w:rsidRPr="00EF1F98" w:rsidRDefault="00912EC6" w:rsidP="00912EC6">
                            <w:pPr>
                              <w:pStyle w:val="Caption"/>
                              <w:rPr>
                                <w:noProof/>
                              </w:rPr>
                            </w:pPr>
                            <w:bookmarkStart w:id="125" w:name="_Toc116992596"/>
                            <w:r>
                              <w:t xml:space="preserve">Figure </w:t>
                            </w:r>
                            <w:r w:rsidR="00E9026D">
                              <w:fldChar w:fldCharType="begin"/>
                            </w:r>
                            <w:r w:rsidR="00E9026D">
                              <w:instrText xml:space="preserve"> SEQ Figure \* ARABIC </w:instrText>
                            </w:r>
                            <w:r w:rsidR="00E9026D">
                              <w:fldChar w:fldCharType="separate"/>
                            </w:r>
                            <w:r w:rsidR="00E9026D">
                              <w:fldChar w:fldCharType="end"/>
                            </w:r>
                            <w:r>
                              <w:t xml:space="preserve"> Environmental Justice Affecting Facilities</w:t>
                            </w:r>
                            <w:bookmarkEnd w:id="12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F1BECD" id="Text Box 15" o:spid="_x0000_s1036" type="#_x0000_t202" style="position:absolute;left:0;text-align:left;margin-left:4.35pt;margin-top:18.45pt;width:497.25pt;height:15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" stroked="f">
                <v:textbox inset="0,0,0,0">
                  <w:txbxContent>
                    <w:p w14:paraId="4BF56362" w14:textId="3F364ABE" w:rsidR="00912EC6" w:rsidRPr="00EF1F98" w:rsidRDefault="00912EC6" w:rsidP="00912EC6">
                      <w:pPr>
                        <w:pStyle w:val="Caption"/>
                        <w:rPr>
                          <w:noProof/>
                        </w:rPr>
                      </w:pPr>
                      <w:bookmarkStart w:id="135" w:name="_Toc116992596"/>
                      <w:r>
                        <w:t xml:space="preserve">Figure </w:t>
                      </w:r>
                      <w:fldSimple w:instr=" SEQ Figure \* ARABIC "/>
                      <w:r>
                        <w:t xml:space="preserve"> Environmental Justice Affecting Facilities</w:t>
                      </w:r>
                      <w:bookmarkEnd w:id="135"/>
                    </w:p>
                  </w:txbxContent>
                </v:textbox>
                <w10:wrap type="topAndBottom"/>
              </v:shape>
            </w:pict>
          </mc:Fallback>
        </mc:AlternateContent>
      </w:r>
    </w:p>
    <w:p w14:paraId="0661EE1B" w14:textId="3F650C7C" w:rsidR="002D3570" w:rsidRPr="006E19A0" w:rsidRDefault="002D3570" w:rsidP="002D3570">
      <w:r w:rsidRPr="006E19A0">
        <w:rPr>
          <w:szCs w:val="24"/>
        </w:rPr>
        <w:t xml:space="preserve"> </w:t>
      </w:r>
      <w:r w:rsidRPr="006E19A0">
        <w:rPr>
          <w:i/>
          <w:iCs/>
        </w:rPr>
        <w:t xml:space="preserve">Source: </w:t>
      </w:r>
      <w:r w:rsidRPr="006E19A0">
        <w:t xml:space="preserve">CT DEEP </w:t>
      </w:r>
    </w:p>
    <w:p w14:paraId="2DA21566" w14:textId="27C44EDF" w:rsidR="009F49AA" w:rsidRDefault="006D61A7" w:rsidP="009F49AA">
      <w:pPr>
        <w:rPr>
          <w:rFonts w:cs="Times New Roman"/>
          <w:color w:val="auto"/>
          <w:szCs w:val="24"/>
        </w:rPr>
      </w:pPr>
      <w:r>
        <w:br w:type="page"/>
      </w:r>
    </w:p>
    <w:sectPr w:rsidR="009F49AA" w:rsidSect="008B518E">
      <w:headerReference w:type="default" r:id="rId42"/>
      <w:footerReference w:type="default" r:id="rId43"/>
      <w:pgSz w:w="12240" w:h="15840"/>
      <w:pgMar w:top="1584" w:right="1008" w:bottom="1008" w:left="1008"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19E7F" w14:textId="77777777" w:rsidR="00356B97" w:rsidRDefault="00356B97" w:rsidP="00530CF3">
      <w:r>
        <w:separator/>
      </w:r>
    </w:p>
    <w:p w14:paraId="0A6A650D" w14:textId="77777777" w:rsidR="00356B97" w:rsidRDefault="00356B97" w:rsidP="00530CF3"/>
  </w:endnote>
  <w:endnote w:type="continuationSeparator" w:id="0">
    <w:p w14:paraId="32A91FBE" w14:textId="77777777" w:rsidR="00356B97" w:rsidRDefault="00356B97" w:rsidP="00530CF3">
      <w:r>
        <w:continuationSeparator/>
      </w:r>
    </w:p>
    <w:p w14:paraId="1D338229" w14:textId="77777777" w:rsidR="00356B97" w:rsidRDefault="00356B97" w:rsidP="00530CF3"/>
  </w:endnote>
  <w:endnote w:type="continuationNotice" w:id="1">
    <w:p w14:paraId="2F859726" w14:textId="77777777" w:rsidR="00356B97" w:rsidRDefault="00356B97" w:rsidP="00530C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ody CS)">
    <w:altName w:val="Arial"/>
    <w:charset w:val="00"/>
    <w:family w:val="roman"/>
    <w:pitch w:val="default"/>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MinionPro-Regular">
    <w:altName w:val="Calibri"/>
    <w:charset w:val="00"/>
    <w:family w:val="auto"/>
    <w:pitch w:val="variable"/>
    <w:sig w:usb0="60000287" w:usb1="00000001" w:usb2="00000000" w:usb3="00000000" w:csb0="0000019F" w:csb1="00000000"/>
  </w:font>
  <w:font w:name="@Yu Gothic UI">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Myriad-Italic">
    <w:altName w:val="Cambria"/>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ato">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egoe UI Symbol">
    <w:panose1 w:val="020B0502040204020203"/>
    <w:charset w:val="00"/>
    <w:family w:val="swiss"/>
    <w:pitch w:val="variable"/>
    <w:sig w:usb0="800001E3" w:usb1="1200FFEF" w:usb2="00040000" w:usb3="00000000" w:csb0="00000001" w:csb1="00000000"/>
  </w:font>
  <w:font w:name="HARVEY BALLS">
    <w:altName w:val="Calibr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052C5" w14:textId="77777777" w:rsidR="0088007A" w:rsidRDefault="0088007A" w:rsidP="00530CF3">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08840CA3" w14:textId="77777777" w:rsidR="0088007A" w:rsidRDefault="0088007A" w:rsidP="00530CF3">
    <w:pPr>
      <w:pStyle w:val="Footer"/>
      <w:rPr>
        <w:rStyle w:val="PageNumber"/>
      </w:rPr>
    </w:pPr>
  </w:p>
  <w:p w14:paraId="4CE57E1D" w14:textId="77777777" w:rsidR="0088007A" w:rsidRDefault="0088007A" w:rsidP="00530CF3">
    <w:pPr>
      <w:pStyle w:val="Footer"/>
    </w:pPr>
  </w:p>
  <w:p w14:paraId="1B240185" w14:textId="77777777" w:rsidR="0088007A" w:rsidRDefault="0088007A" w:rsidP="00530CF3"/>
  <w:p w14:paraId="4F5AFCC5" w14:textId="77777777" w:rsidR="0088007A" w:rsidRDefault="0088007A" w:rsidP="00530CF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00"/>
      <w:gridCol w:w="3500"/>
      <w:gridCol w:w="3500"/>
    </w:tblGrid>
    <w:tr w:rsidR="53AEA2DF" w14:paraId="2B40A31F" w14:textId="77777777" w:rsidTr="00E15E6E">
      <w:tc>
        <w:tcPr>
          <w:tcW w:w="3500" w:type="dxa"/>
        </w:tcPr>
        <w:p w14:paraId="68AAD16B" w14:textId="7155B565" w:rsidR="53AEA2DF" w:rsidRDefault="53AEA2DF" w:rsidP="00E15E6E">
          <w:pPr>
            <w:pStyle w:val="Header"/>
            <w:ind w:left="-115"/>
            <w:jc w:val="left"/>
          </w:pPr>
        </w:p>
      </w:tc>
      <w:tc>
        <w:tcPr>
          <w:tcW w:w="3500" w:type="dxa"/>
        </w:tcPr>
        <w:p w14:paraId="41BF35D0" w14:textId="1B705005" w:rsidR="53AEA2DF" w:rsidRDefault="53AEA2DF" w:rsidP="00E15E6E">
          <w:pPr>
            <w:pStyle w:val="Header"/>
            <w:jc w:val="center"/>
          </w:pPr>
        </w:p>
      </w:tc>
      <w:tc>
        <w:tcPr>
          <w:tcW w:w="3500" w:type="dxa"/>
        </w:tcPr>
        <w:p w14:paraId="7B141D9E" w14:textId="5123AF0A" w:rsidR="53AEA2DF" w:rsidRDefault="53AEA2DF" w:rsidP="00E15E6E">
          <w:pPr>
            <w:pStyle w:val="Header"/>
            <w:ind w:right="-115"/>
            <w:jc w:val="right"/>
          </w:pPr>
        </w:p>
      </w:tc>
    </w:tr>
  </w:tbl>
  <w:p w14:paraId="36776406" w14:textId="0F890BBC" w:rsidR="53AEA2DF" w:rsidRDefault="53AEA2DF" w:rsidP="00E15E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C3BB4" w14:textId="77777777" w:rsidR="0088007A" w:rsidRPr="00E761A8" w:rsidRDefault="0088007A" w:rsidP="00530CF3">
    <w:pPr>
      <w:pStyle w:val="Footer"/>
      <w:rPr>
        <w:rStyle w:val="PageNumber"/>
        <w:color w:val="FFFFFF" w:themeColor="background1"/>
      </w:rPr>
    </w:pPr>
    <w:r w:rsidRPr="00E761A8">
      <w:rPr>
        <w:rStyle w:val="PageNumber"/>
        <w:color w:val="FFFFFF" w:themeColor="background1"/>
      </w:rPr>
      <w:fldChar w:fldCharType="begin"/>
    </w:r>
    <w:r w:rsidRPr="00E761A8">
      <w:rPr>
        <w:rStyle w:val="PageNumber"/>
        <w:color w:val="FFFFFF" w:themeColor="background1"/>
      </w:rPr>
      <w:instrText xml:space="preserve">PAGE  </w:instrText>
    </w:r>
    <w:r w:rsidRPr="00E761A8">
      <w:rPr>
        <w:rStyle w:val="PageNumber"/>
        <w:color w:val="FFFFFF" w:themeColor="background1"/>
      </w:rPr>
      <w:fldChar w:fldCharType="separate"/>
    </w:r>
    <w:r>
      <w:rPr>
        <w:rStyle w:val="PageNumber"/>
        <w:noProof/>
        <w:color w:val="FFFFFF" w:themeColor="background1"/>
      </w:rPr>
      <w:t>1</w:t>
    </w:r>
    <w:r w:rsidRPr="00E761A8">
      <w:rPr>
        <w:rStyle w:val="PageNumber"/>
        <w:color w:val="FFFFFF" w:themeColor="background1"/>
      </w:rPr>
      <w:fldChar w:fldCharType="end"/>
    </w:r>
  </w:p>
  <w:p w14:paraId="235B38F1" w14:textId="77777777" w:rsidR="0088007A" w:rsidRDefault="0088007A" w:rsidP="00530CF3">
    <w:pPr>
      <w:pStyle w:val="Footer"/>
    </w:pPr>
  </w:p>
  <w:p w14:paraId="7DA43323" w14:textId="77777777" w:rsidR="0088007A" w:rsidRDefault="0088007A" w:rsidP="00530CF3"/>
  <w:p w14:paraId="1F4AD1C2" w14:textId="77777777" w:rsidR="0088007A" w:rsidRDefault="0088007A" w:rsidP="00530CF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53AEA2DF" w14:paraId="02364433" w14:textId="77777777" w:rsidTr="00E15E6E">
      <w:tc>
        <w:tcPr>
          <w:tcW w:w="3360" w:type="dxa"/>
        </w:tcPr>
        <w:p w14:paraId="60E921EC" w14:textId="4402F64E" w:rsidR="53AEA2DF" w:rsidRDefault="53AEA2DF" w:rsidP="00D13D4A">
          <w:pPr>
            <w:pStyle w:val="Header"/>
            <w:ind w:left="-115"/>
            <w:jc w:val="left"/>
          </w:pPr>
        </w:p>
      </w:tc>
      <w:tc>
        <w:tcPr>
          <w:tcW w:w="3360" w:type="dxa"/>
        </w:tcPr>
        <w:p w14:paraId="225A34CC" w14:textId="5B3BEDF6" w:rsidR="53AEA2DF" w:rsidRDefault="53AEA2DF" w:rsidP="00D13D4A">
          <w:pPr>
            <w:pStyle w:val="Header"/>
            <w:jc w:val="center"/>
          </w:pPr>
        </w:p>
      </w:tc>
      <w:tc>
        <w:tcPr>
          <w:tcW w:w="3360" w:type="dxa"/>
        </w:tcPr>
        <w:p w14:paraId="14129CC6" w14:textId="4D54AFE9" w:rsidR="53AEA2DF" w:rsidRDefault="53AEA2DF" w:rsidP="00D13D4A">
          <w:pPr>
            <w:pStyle w:val="Header"/>
            <w:ind w:right="-115"/>
            <w:jc w:val="right"/>
          </w:pPr>
        </w:p>
      </w:tc>
    </w:tr>
  </w:tbl>
  <w:p w14:paraId="09239BFD" w14:textId="3515850C" w:rsidR="53AEA2DF" w:rsidRDefault="53AEA2DF" w:rsidP="00760A6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05A3A" w14:textId="1157B2DF" w:rsidR="00205703" w:rsidRDefault="00205703" w:rsidP="009F49AA">
    <w:pPr>
      <w:pStyle w:val="Footer"/>
      <w:tabs>
        <w:tab w:val="clear" w:pos="4680"/>
        <w:tab w:val="clear" w:pos="9360"/>
        <w:tab w:val="left" w:pos="38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33ED2" w14:textId="77777777" w:rsidR="00356B97" w:rsidRDefault="00356B97" w:rsidP="00530CF3">
      <w:r>
        <w:separator/>
      </w:r>
    </w:p>
    <w:p w14:paraId="231DDCA0" w14:textId="77777777" w:rsidR="00356B97" w:rsidRDefault="00356B97" w:rsidP="00530CF3"/>
  </w:footnote>
  <w:footnote w:type="continuationSeparator" w:id="0">
    <w:p w14:paraId="2EF36D3A" w14:textId="77777777" w:rsidR="00356B97" w:rsidRDefault="00356B97" w:rsidP="00530CF3">
      <w:r>
        <w:continuationSeparator/>
      </w:r>
    </w:p>
    <w:p w14:paraId="4BB20869" w14:textId="77777777" w:rsidR="00356B97" w:rsidRDefault="00356B97" w:rsidP="00530CF3"/>
  </w:footnote>
  <w:footnote w:type="continuationNotice" w:id="1">
    <w:p w14:paraId="0A1AF5F2" w14:textId="77777777" w:rsidR="00356B97" w:rsidRDefault="00356B97" w:rsidP="00530CF3"/>
  </w:footnote>
  <w:footnote w:id="2">
    <w:p w14:paraId="5264B39C" w14:textId="57331297" w:rsidR="00183730" w:rsidRPr="00183730" w:rsidRDefault="00183730">
      <w:pPr>
        <w:pStyle w:val="FootnoteText"/>
      </w:pPr>
      <w:r>
        <w:rPr>
          <w:rStyle w:val="FootnoteReference"/>
        </w:rPr>
        <w:footnoteRef/>
      </w:r>
      <w:r w:rsidRPr="00183730">
        <w:t xml:space="preserve"> Waste gene</w:t>
      </w:r>
      <w:r w:rsidRPr="00760A64">
        <w:t xml:space="preserve">ration </w:t>
      </w:r>
      <w:r>
        <w:t xml:space="preserve">includes material sent to recycling, composting, anaerobic digestion, waste to energy and landfill from both commercial and residential sectors. </w:t>
      </w:r>
    </w:p>
  </w:footnote>
  <w:footnote w:id="3">
    <w:p w14:paraId="0F34B747" w14:textId="77777777" w:rsidR="00D32613" w:rsidRPr="00EB666D" w:rsidRDefault="00D32613" w:rsidP="00D32613">
      <w:pPr>
        <w:pStyle w:val="FootnoteText"/>
        <w:rPr>
          <w:szCs w:val="18"/>
        </w:rPr>
      </w:pPr>
      <w:r>
        <w:rPr>
          <w:rStyle w:val="FootnoteReference"/>
        </w:rPr>
        <w:footnoteRef/>
      </w:r>
      <w:r w:rsidRPr="00B21BCA">
        <w:t xml:space="preserve">Connecticut Department of Energy and Environmental Protection. (n.d.). Final Adopted Comprehensive Materials Management Strategy, Revised 12-14-2016. Retrieved September 23, 2022, from </w:t>
      </w:r>
      <w:hyperlink r:id="rId1" w:history="1">
        <w:r w:rsidRPr="007073CF">
          <w:rPr>
            <w:rStyle w:val="Hyperlink"/>
            <w:sz w:val="18"/>
          </w:rPr>
          <w:t>https://portal.ct.gov/-/media/DEEP/waste_management_and_disposal/Solid_Waste_Management_Plan/CMMSFinalAdoptedComprehensiveMaterialsManagementStrategypdf.pdf</w:t>
        </w:r>
      </w:hyperlink>
      <w:r>
        <w:t xml:space="preserve"> </w:t>
      </w:r>
    </w:p>
  </w:footnote>
  <w:footnote w:id="4">
    <w:p w14:paraId="7467E0F4" w14:textId="29E114E3" w:rsidR="00D32613" w:rsidRDefault="00D32613" w:rsidP="00D32613">
      <w:pPr>
        <w:pStyle w:val="FootnoteText"/>
      </w:pPr>
      <w:r>
        <w:rPr>
          <w:rStyle w:val="FootnoteReference"/>
          <w:szCs w:val="18"/>
        </w:rPr>
        <w:t>c</w:t>
      </w:r>
      <w:r w:rsidR="009067D1" w:rsidRPr="009067D1">
        <w:t xml:space="preserve"> </w:t>
      </w:r>
      <w:r w:rsidR="009067D1" w:rsidRPr="009067D1">
        <w:rPr>
          <w:szCs w:val="18"/>
        </w:rPr>
        <w:t>Public Act No. 14-94 A</w:t>
      </w:r>
      <w:r w:rsidR="009067D1">
        <w:rPr>
          <w:szCs w:val="18"/>
        </w:rPr>
        <w:t>n</w:t>
      </w:r>
      <w:r w:rsidR="009067D1" w:rsidRPr="009067D1">
        <w:rPr>
          <w:szCs w:val="18"/>
        </w:rPr>
        <w:t xml:space="preserve"> A</w:t>
      </w:r>
      <w:r w:rsidR="009067D1">
        <w:rPr>
          <w:szCs w:val="18"/>
        </w:rPr>
        <w:t>ct</w:t>
      </w:r>
      <w:r w:rsidR="009067D1" w:rsidRPr="009067D1">
        <w:rPr>
          <w:szCs w:val="18"/>
        </w:rPr>
        <w:t xml:space="preserve"> C</w:t>
      </w:r>
      <w:r w:rsidR="009067D1">
        <w:rPr>
          <w:szCs w:val="18"/>
        </w:rPr>
        <w:t>oncerning</w:t>
      </w:r>
      <w:r w:rsidR="009067D1" w:rsidRPr="009067D1">
        <w:rPr>
          <w:szCs w:val="18"/>
        </w:rPr>
        <w:t xml:space="preserve"> C</w:t>
      </w:r>
      <w:r w:rsidR="009067D1">
        <w:rPr>
          <w:szCs w:val="18"/>
        </w:rPr>
        <w:t>onnecticut</w:t>
      </w:r>
      <w:r w:rsidR="009067D1" w:rsidRPr="009067D1">
        <w:rPr>
          <w:szCs w:val="18"/>
        </w:rPr>
        <w:t>’</w:t>
      </w:r>
      <w:r w:rsidR="009067D1">
        <w:rPr>
          <w:szCs w:val="18"/>
        </w:rPr>
        <w:t>s</w:t>
      </w:r>
      <w:r w:rsidR="009067D1" w:rsidRPr="009067D1">
        <w:rPr>
          <w:szCs w:val="18"/>
        </w:rPr>
        <w:t xml:space="preserve"> R</w:t>
      </w:r>
      <w:r w:rsidR="009067D1">
        <w:rPr>
          <w:szCs w:val="18"/>
        </w:rPr>
        <w:t>ecycling</w:t>
      </w:r>
      <w:r w:rsidR="009067D1" w:rsidRPr="009067D1">
        <w:rPr>
          <w:szCs w:val="18"/>
        </w:rPr>
        <w:t xml:space="preserve"> </w:t>
      </w:r>
      <w:r w:rsidR="009067D1">
        <w:rPr>
          <w:szCs w:val="18"/>
        </w:rPr>
        <w:t>and</w:t>
      </w:r>
      <w:r w:rsidR="009067D1" w:rsidRPr="009067D1">
        <w:rPr>
          <w:szCs w:val="18"/>
        </w:rPr>
        <w:t xml:space="preserve"> M</w:t>
      </w:r>
      <w:r w:rsidR="009067D1">
        <w:rPr>
          <w:szCs w:val="18"/>
        </w:rPr>
        <w:t>aterials</w:t>
      </w:r>
      <w:r w:rsidR="009067D1" w:rsidRPr="009067D1">
        <w:rPr>
          <w:szCs w:val="18"/>
        </w:rPr>
        <w:t xml:space="preserve"> M</w:t>
      </w:r>
      <w:r w:rsidR="009067D1">
        <w:rPr>
          <w:szCs w:val="18"/>
        </w:rPr>
        <w:t>anagement</w:t>
      </w:r>
      <w:r w:rsidR="009067D1" w:rsidRPr="009067D1">
        <w:rPr>
          <w:szCs w:val="18"/>
        </w:rPr>
        <w:t xml:space="preserve"> S</w:t>
      </w:r>
      <w:r w:rsidR="009067D1">
        <w:rPr>
          <w:szCs w:val="18"/>
        </w:rPr>
        <w:t>trategy</w:t>
      </w:r>
      <w:r w:rsidR="009067D1" w:rsidRPr="009067D1">
        <w:rPr>
          <w:szCs w:val="18"/>
        </w:rPr>
        <w:t>, T</w:t>
      </w:r>
      <w:r w:rsidR="00F87177">
        <w:rPr>
          <w:szCs w:val="18"/>
        </w:rPr>
        <w:t>he</w:t>
      </w:r>
      <w:r w:rsidR="009067D1" w:rsidRPr="009067D1">
        <w:rPr>
          <w:szCs w:val="18"/>
        </w:rPr>
        <w:t xml:space="preserve"> U</w:t>
      </w:r>
      <w:r w:rsidR="00F87177">
        <w:rPr>
          <w:szCs w:val="18"/>
        </w:rPr>
        <w:t>nderground</w:t>
      </w:r>
      <w:r w:rsidR="009067D1" w:rsidRPr="009067D1">
        <w:rPr>
          <w:szCs w:val="18"/>
        </w:rPr>
        <w:t xml:space="preserve"> D</w:t>
      </w:r>
      <w:r w:rsidR="00F87177">
        <w:rPr>
          <w:szCs w:val="18"/>
        </w:rPr>
        <w:t>amage</w:t>
      </w:r>
      <w:r w:rsidR="009067D1" w:rsidRPr="009067D1">
        <w:rPr>
          <w:szCs w:val="18"/>
        </w:rPr>
        <w:t xml:space="preserve"> </w:t>
      </w:r>
      <w:r w:rsidR="00F87177">
        <w:rPr>
          <w:szCs w:val="18"/>
        </w:rPr>
        <w:t>Prevention</w:t>
      </w:r>
      <w:r w:rsidR="009067D1" w:rsidRPr="009067D1">
        <w:rPr>
          <w:szCs w:val="18"/>
        </w:rPr>
        <w:t xml:space="preserve"> P</w:t>
      </w:r>
      <w:r w:rsidR="00F87177">
        <w:rPr>
          <w:szCs w:val="18"/>
        </w:rPr>
        <w:t>rogram</w:t>
      </w:r>
      <w:r w:rsidR="009067D1" w:rsidRPr="009067D1">
        <w:rPr>
          <w:szCs w:val="18"/>
        </w:rPr>
        <w:t xml:space="preserve"> </w:t>
      </w:r>
      <w:r w:rsidR="00F87177">
        <w:rPr>
          <w:szCs w:val="18"/>
        </w:rPr>
        <w:t>and</w:t>
      </w:r>
      <w:r w:rsidR="009067D1" w:rsidRPr="009067D1">
        <w:rPr>
          <w:szCs w:val="18"/>
        </w:rPr>
        <w:t xml:space="preserve"> R</w:t>
      </w:r>
      <w:r w:rsidR="00F87177">
        <w:rPr>
          <w:szCs w:val="18"/>
        </w:rPr>
        <w:t>evisions</w:t>
      </w:r>
      <w:r w:rsidR="009067D1" w:rsidRPr="009067D1">
        <w:rPr>
          <w:szCs w:val="18"/>
        </w:rPr>
        <w:t xml:space="preserve"> </w:t>
      </w:r>
      <w:r w:rsidR="00F87177">
        <w:rPr>
          <w:szCs w:val="18"/>
        </w:rPr>
        <w:t>to</w:t>
      </w:r>
      <w:r w:rsidR="009067D1" w:rsidRPr="009067D1">
        <w:rPr>
          <w:szCs w:val="18"/>
        </w:rPr>
        <w:t xml:space="preserve"> E</w:t>
      </w:r>
      <w:r w:rsidR="00F87177">
        <w:rPr>
          <w:szCs w:val="18"/>
        </w:rPr>
        <w:t>nergy</w:t>
      </w:r>
      <w:r w:rsidR="009067D1" w:rsidRPr="009067D1">
        <w:rPr>
          <w:szCs w:val="18"/>
        </w:rPr>
        <w:t xml:space="preserve"> </w:t>
      </w:r>
      <w:r w:rsidR="00F87177">
        <w:rPr>
          <w:szCs w:val="18"/>
        </w:rPr>
        <w:t>and</w:t>
      </w:r>
      <w:r w:rsidR="009067D1" w:rsidRPr="009067D1">
        <w:rPr>
          <w:szCs w:val="18"/>
        </w:rPr>
        <w:t xml:space="preserve"> E</w:t>
      </w:r>
      <w:r w:rsidR="00F87177">
        <w:rPr>
          <w:szCs w:val="18"/>
        </w:rPr>
        <w:t>nvironmental</w:t>
      </w:r>
      <w:r w:rsidR="009067D1" w:rsidRPr="009067D1">
        <w:rPr>
          <w:szCs w:val="18"/>
        </w:rPr>
        <w:t xml:space="preserve"> S</w:t>
      </w:r>
      <w:r w:rsidR="00F87177">
        <w:rPr>
          <w:szCs w:val="18"/>
        </w:rPr>
        <w:t>tatu</w:t>
      </w:r>
      <w:r w:rsidR="00EA7894">
        <w:rPr>
          <w:szCs w:val="18"/>
        </w:rPr>
        <w:t>tes</w:t>
      </w:r>
      <w:r w:rsidR="009067D1" w:rsidRPr="009067D1">
        <w:rPr>
          <w:szCs w:val="18"/>
        </w:rPr>
        <w:t xml:space="preserve">. </w:t>
      </w:r>
      <w:r w:rsidR="00BC28E0">
        <w:rPr>
          <w:szCs w:val="18"/>
        </w:rPr>
        <w:t>2014</w:t>
      </w:r>
      <w:r w:rsidR="009067D1" w:rsidRPr="009067D1">
        <w:rPr>
          <w:szCs w:val="18"/>
        </w:rPr>
        <w:t xml:space="preserve">. Retrieved October 16, 2022, from </w:t>
      </w:r>
      <w:hyperlink r:id="rId2" w:history="1">
        <w:r w:rsidR="009067D1" w:rsidRPr="002D51DB">
          <w:rPr>
            <w:rStyle w:val="Hyperlink"/>
            <w:rFonts w:ascii="Verdana" w:hAnsi="Verdana"/>
            <w:sz w:val="16"/>
            <w:szCs w:val="18"/>
          </w:rPr>
          <w:t>https://www.cga.ct.gov/2014/act/pa/pdf/2014PA-00094-R00SB-00357-PA.pdf</w:t>
        </w:r>
      </w:hyperlink>
      <w:r w:rsidR="009067D1">
        <w:rPr>
          <w:szCs w:val="18"/>
        </w:rPr>
        <w:t xml:space="preserve"> </w:t>
      </w:r>
    </w:p>
  </w:footnote>
  <w:footnote w:id="5">
    <w:p w14:paraId="6FAAAAD0" w14:textId="46A8E9CF" w:rsidR="00634B1C" w:rsidRDefault="00634B1C">
      <w:pPr>
        <w:pStyle w:val="FootnoteText"/>
      </w:pPr>
      <w:r>
        <w:rPr>
          <w:rStyle w:val="FootnoteReference"/>
        </w:rPr>
        <w:footnoteRef/>
      </w:r>
      <w:r>
        <w:t xml:space="preserve"> </w:t>
      </w:r>
      <w:sdt>
        <w:sdtPr>
          <w:rPr>
            <w:color w:val="000000"/>
          </w:rPr>
          <w:tag w:val="MENDELEY_CITATION_v3_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"/>
          <w:id w:val="898943015"/>
          <w:placeholder>
            <w:docPart w:val="DefaultPlaceholder_-1854013440"/>
          </w:placeholder>
        </w:sdtPr>
        <w:sdtEndPr/>
        <w:sdtContent>
          <w:r w:rsidR="00455133" w:rsidRPr="00455133">
            <w:rPr>
              <w:color w:val="000000"/>
            </w:rPr>
            <w:t xml:space="preserve">Materials Innovation and Recycling Authority (MIRA). (n.d.). Who We Are. Retrieved October 16, 2022, from </w:t>
          </w:r>
          <w:hyperlink r:id="rId3" w:history="1">
            <w:r w:rsidR="00455133" w:rsidRPr="002D51DB">
              <w:rPr>
                <w:rStyle w:val="Hyperlink"/>
                <w:rFonts w:ascii="Verdana" w:hAnsi="Verdana"/>
                <w:sz w:val="16"/>
              </w:rPr>
              <w:t>https://www.ctmira.org/about/</w:t>
            </w:r>
          </w:hyperlink>
          <w:r w:rsidR="00455133">
            <w:rPr>
              <w:color w:val="000000"/>
            </w:rPr>
            <w:t xml:space="preserve"> </w:t>
          </w:r>
          <w:r w:rsidR="005E1438" w:rsidRPr="005E1438">
            <w:rPr>
              <w:color w:val="000000"/>
            </w:rPr>
            <w:t>)</w:t>
          </w:r>
        </w:sdtContent>
      </w:sdt>
    </w:p>
  </w:footnote>
  <w:footnote w:id="6">
    <w:p w14:paraId="6FC7E3CA" w14:textId="57659AF3" w:rsidR="003F7E76" w:rsidRPr="00EB66A9" w:rsidRDefault="003F7E76">
      <w:pPr>
        <w:pStyle w:val="FootnoteText"/>
      </w:pPr>
      <w:r>
        <w:rPr>
          <w:rStyle w:val="FootnoteReference"/>
        </w:rPr>
        <w:footnoteRef/>
      </w:r>
      <w:r w:rsidRPr="00EB66A9">
        <w:t xml:space="preserve"> </w:t>
      </w:r>
      <w:r w:rsidR="00A26868" w:rsidRPr="00EB66A9">
        <w:t>IBID</w:t>
      </w:r>
    </w:p>
  </w:footnote>
  <w:footnote w:id="7">
    <w:p w14:paraId="5BC6AAAD" w14:textId="044BD471" w:rsidR="00026DFF" w:rsidRPr="00EB66A9" w:rsidRDefault="00026DFF">
      <w:pPr>
        <w:pStyle w:val="FootnoteText"/>
      </w:pPr>
      <w:r>
        <w:rPr>
          <w:rStyle w:val="FootnoteReference"/>
        </w:rPr>
        <w:footnoteRef/>
      </w:r>
      <w:r w:rsidRPr="00B430EE">
        <w:t xml:space="preserve"> </w:t>
      </w:r>
      <w:r w:rsidR="00B430EE" w:rsidRPr="00B430EE">
        <w:t xml:space="preserve">Materials Innovation and Recycling Authority (MIRA). (2021). MIRA’s Waste to Energy Facility Current Status and Permit Modification. </w:t>
      </w:r>
      <w:hyperlink r:id="rId4" w:history="1">
        <w:r w:rsidR="00B430EE" w:rsidRPr="00EB66A9">
          <w:rPr>
            <w:rStyle w:val="Hyperlink"/>
            <w:rFonts w:ascii="Verdana" w:hAnsi="Verdana"/>
            <w:sz w:val="16"/>
          </w:rPr>
          <w:t>https://www.ctmira.org/wp-content/uploads/2021/12/MIRA-Presentation-informational-meeting-12-15-21.pdf</w:t>
        </w:r>
      </w:hyperlink>
      <w:r w:rsidR="00B430EE" w:rsidRPr="00EB66A9">
        <w:t xml:space="preserve"> </w:t>
      </w:r>
    </w:p>
  </w:footnote>
  <w:footnote w:id="8">
    <w:p w14:paraId="2F94A353" w14:textId="536E0659" w:rsidR="00CC7BA2" w:rsidRPr="00C04427" w:rsidRDefault="00CC7BA2">
      <w:pPr>
        <w:pStyle w:val="FootnoteText"/>
      </w:pPr>
      <w:r>
        <w:rPr>
          <w:rStyle w:val="FootnoteReference"/>
        </w:rPr>
        <w:footnoteRef/>
      </w:r>
      <w:r w:rsidRPr="00C04427">
        <w:t xml:space="preserve"> </w:t>
      </w:r>
      <w:r w:rsidR="00C04427" w:rsidRPr="00C04427">
        <w:t xml:space="preserve">Capital Region Council of Governments. (n.d.). About. Retrieved October 16, 2022, from </w:t>
      </w:r>
      <w:hyperlink r:id="rId5" w:history="1">
        <w:r w:rsidR="00C04427" w:rsidRPr="00C04427">
          <w:rPr>
            <w:rStyle w:val="Hyperlink"/>
            <w:rFonts w:ascii="Verdana" w:hAnsi="Verdana"/>
            <w:sz w:val="16"/>
          </w:rPr>
          <w:t>https://crcog.org/about/</w:t>
        </w:r>
      </w:hyperlink>
      <w:r w:rsidR="00C04427" w:rsidRPr="00C04427">
        <w:t xml:space="preserve"> </w:t>
      </w:r>
    </w:p>
  </w:footnote>
  <w:footnote w:id="9">
    <w:p w14:paraId="6BA73543" w14:textId="60B91CB8" w:rsidR="00C84C6C" w:rsidRPr="00432A2C" w:rsidRDefault="00F129E3" w:rsidP="009F49AA">
      <w:pPr>
        <w:pStyle w:val="FootnoteText"/>
      </w:pPr>
      <w:r>
        <w:rPr>
          <w:rStyle w:val="FootnoteReference"/>
        </w:rPr>
        <w:footnoteRef/>
      </w:r>
      <w:r w:rsidRPr="00432A2C">
        <w:t xml:space="preserve"> </w:t>
      </w:r>
      <w:r w:rsidR="00C84C6C" w:rsidRPr="00432A2C">
        <w:t xml:space="preserve">Connecticut Department of Labor’s Office of Research. (n.d.). </w:t>
      </w:r>
      <w:r w:rsidR="00C84C6C" w:rsidRPr="00432A2C">
        <w:rPr>
          <w:i/>
          <w:iCs/>
        </w:rPr>
        <w:t>2020-2030 Connecticut Occupational Projections</w:t>
      </w:r>
      <w:r w:rsidR="00C84C6C" w:rsidRPr="00432A2C">
        <w:t xml:space="preserve">. Retrieved </w:t>
      </w:r>
      <w:r w:rsidR="00C84C6C" w:rsidRPr="009F49AA">
        <w:t>September</w:t>
      </w:r>
      <w:r w:rsidR="00C84C6C" w:rsidRPr="00432A2C">
        <w:t xml:space="preserve"> 23, 2022, from </w:t>
      </w:r>
      <w:hyperlink r:id="rId6" w:history="1">
        <w:r w:rsidR="00C84C6C" w:rsidRPr="00432A2C">
          <w:rPr>
            <w:rStyle w:val="Hyperlink"/>
            <w:rFonts w:asciiTheme="minorHAnsi" w:eastAsia="Times New Roman" w:hAnsiTheme="minorHAnsi" w:cs="Times New Roman"/>
            <w:sz w:val="18"/>
            <w:szCs w:val="18"/>
          </w:rPr>
          <w:t>https://www1.ctdol.state.ct.us/lmi/projections.asp</w:t>
        </w:r>
      </w:hyperlink>
      <w:r w:rsidR="00C84C6C" w:rsidRPr="00432A2C">
        <w:t xml:space="preserve"> </w:t>
      </w:r>
    </w:p>
    <w:p w14:paraId="523B8F8D" w14:textId="2E16971A" w:rsidR="00F129E3" w:rsidRDefault="00F129E3" w:rsidP="00D14941">
      <w:pPr>
        <w:pStyle w:val="FootnoteText"/>
      </w:pPr>
    </w:p>
  </w:footnote>
  <w:footnote w:id="10">
    <w:p w14:paraId="576DED2B" w14:textId="0DDBF75D" w:rsidR="00C75A42" w:rsidRDefault="00C75A42">
      <w:pPr>
        <w:pStyle w:val="FootnoteText"/>
      </w:pPr>
      <w:r>
        <w:rPr>
          <w:rStyle w:val="FootnoteReference"/>
        </w:rPr>
        <w:footnoteRef/>
      </w:r>
      <w:r>
        <w:t xml:space="preserve"> </w:t>
      </w:r>
      <w:r w:rsidR="00A4713C">
        <w:t xml:space="preserve">32 CRCOG communities responded to the survey. </w:t>
      </w:r>
    </w:p>
  </w:footnote>
  <w:footnote w:id="11">
    <w:p w14:paraId="59D05809" w14:textId="31CD89D7" w:rsidR="00BB1373" w:rsidRDefault="00BB1373">
      <w:pPr>
        <w:pStyle w:val="FootnoteText"/>
      </w:pPr>
      <w:r>
        <w:rPr>
          <w:rStyle w:val="FootnoteReference"/>
        </w:rPr>
        <w:footnoteRef/>
      </w:r>
      <w:r>
        <w:t xml:space="preserve"> </w:t>
      </w:r>
      <w:r w:rsidR="00AD0514">
        <w:t>33 CRCOG communities responded to this question in the survey.</w:t>
      </w:r>
    </w:p>
  </w:footnote>
  <w:footnote w:id="12">
    <w:p w14:paraId="089CD413" w14:textId="73B1879E" w:rsidR="00107316" w:rsidRDefault="00107316">
      <w:pPr>
        <w:pStyle w:val="FootnoteText"/>
      </w:pPr>
      <w:r>
        <w:rPr>
          <w:rStyle w:val="FootnoteReference"/>
        </w:rPr>
        <w:footnoteRef/>
      </w:r>
      <w:r>
        <w:t xml:space="preserve"> </w:t>
      </w:r>
    </w:p>
  </w:footnote>
  <w:footnote w:id="13">
    <w:p w14:paraId="41C28795" w14:textId="6A7AE1F5" w:rsidR="00D354F2" w:rsidRDefault="00D354F2">
      <w:pPr>
        <w:pStyle w:val="FootnoteText"/>
      </w:pPr>
      <w:r>
        <w:rPr>
          <w:rStyle w:val="FootnoteReference"/>
        </w:rPr>
        <w:footnoteRef/>
      </w:r>
      <w:r>
        <w:t xml:space="preserve"> </w:t>
      </w:r>
      <w:r w:rsidRPr="00456423">
        <w:rPr>
          <w:rStyle w:val="FootnoteReference"/>
        </w:rPr>
        <w:footnoteRef/>
      </w:r>
      <w:r w:rsidRPr="00456423">
        <w:t xml:space="preserve"> Environmental Protection Agency. (2020). Advancing Sustainable Materials Management: 2018 Fact Sheet Assessing Trends in Materials Generation and Management in the United States</w:t>
      </w:r>
      <w:r w:rsidRPr="00D14941">
        <w:t xml:space="preserve">. </w:t>
      </w:r>
      <w:hyperlink r:id="rId7" w:history="1">
        <w:r w:rsidRPr="00D14941">
          <w:rPr>
            <w:rStyle w:val="Hyperlink"/>
            <w:rFonts w:ascii="Verdana" w:hAnsi="Verdana"/>
            <w:sz w:val="16"/>
          </w:rPr>
          <w:t>https://www.epa.gov/sites/default/files/2021-01/documents/2018_ff_fact_sheet_dec_2020_fnl_508.pdf</w:t>
        </w:r>
      </w:hyperlink>
      <w:r w:rsidRPr="00D14941">
        <w:t>.</w:t>
      </w:r>
    </w:p>
  </w:footnote>
  <w:footnote w:id="14">
    <w:p w14:paraId="720089BC" w14:textId="628F6C5D" w:rsidR="00CF690C" w:rsidRPr="00456423" w:rsidRDefault="00CF690C" w:rsidP="00D14941">
      <w:pPr>
        <w:pStyle w:val="FootnoteText"/>
      </w:pPr>
      <w:r w:rsidRPr="00456423">
        <w:rPr>
          <w:rStyle w:val="FootnoteReference"/>
        </w:rPr>
        <w:footnoteRef/>
      </w:r>
      <w:r w:rsidRPr="00456423">
        <w:t xml:space="preserve"> </w:t>
      </w:r>
      <w:r w:rsidRPr="00D14941">
        <w:t xml:space="preserve">Connecticut DEEP </w:t>
      </w:r>
      <w:r w:rsidR="00522D25" w:rsidRPr="00D14941">
        <w:t xml:space="preserve">2019 data reported by </w:t>
      </w:r>
      <w:r w:rsidR="00FC1F12" w:rsidRPr="00D14941">
        <w:t xml:space="preserve">CRCOG </w:t>
      </w:r>
      <w:r w:rsidR="00522D25" w:rsidRPr="00D14941">
        <w:t xml:space="preserve">communities </w:t>
      </w:r>
      <w:r w:rsidR="00FC1F12" w:rsidRPr="00D14941">
        <w:t xml:space="preserve">to DEEP </w:t>
      </w:r>
      <w:r w:rsidR="00522D25" w:rsidRPr="00D14941">
        <w:t xml:space="preserve">was utilized to determine waste generation and tons diverted. </w:t>
      </w:r>
      <w:r w:rsidR="00FC1F12" w:rsidRPr="00D14941">
        <w:t xml:space="preserve">Note that 2019 data </w:t>
      </w:r>
      <w:r w:rsidR="001F5E3E" w:rsidRPr="00D14941">
        <w:t xml:space="preserve">reported by communities approximated facility reports for </w:t>
      </w:r>
      <w:r w:rsidR="00B15442" w:rsidRPr="00D14941">
        <w:t xml:space="preserve">waste generated </w:t>
      </w:r>
      <w:r w:rsidR="00E4655E" w:rsidRPr="00D14941">
        <w:t>with less than a 5 percent differen</w:t>
      </w:r>
      <w:r w:rsidR="009737C6">
        <w:t>ce</w:t>
      </w:r>
      <w:r w:rsidR="00E4655E" w:rsidRPr="00D14941">
        <w:t xml:space="preserve"> in data reported </w:t>
      </w:r>
      <w:r w:rsidR="001F4DDE">
        <w:t>between</w:t>
      </w:r>
      <w:r w:rsidR="00E4655E" w:rsidRPr="00D14941">
        <w:t xml:space="preserve"> the sources.</w:t>
      </w:r>
      <w:r w:rsidR="00E4655E" w:rsidRPr="00456423">
        <w:t xml:space="preserve"> </w:t>
      </w:r>
    </w:p>
  </w:footnote>
  <w:footnote w:id="15">
    <w:p w14:paraId="274A73CA" w14:textId="01BAD245" w:rsidR="007A0B76" w:rsidRPr="009F49AA" w:rsidRDefault="007A0B76" w:rsidP="009F49AA">
      <w:pPr>
        <w:pStyle w:val="FootnoteText"/>
      </w:pPr>
      <w:r w:rsidRPr="009F49AA">
        <w:rPr>
          <w:rStyle w:val="FootnoteReference"/>
          <w:vertAlign w:val="baseline"/>
        </w:rPr>
        <w:footnoteRef/>
      </w:r>
      <w:r w:rsidRPr="009F49AA">
        <w:t xml:space="preserve"> </w:t>
      </w:r>
      <w:r w:rsidR="00FC2B3C" w:rsidRPr="009F49AA">
        <w:t>The Recycling Partnership. (2020). 2020 State of Curbside Recycling Report.</w:t>
      </w:r>
    </w:p>
  </w:footnote>
  <w:footnote w:id="16">
    <w:p w14:paraId="7799A513" w14:textId="1CF83E70" w:rsidR="00674864" w:rsidRDefault="00674864">
      <w:pPr>
        <w:pStyle w:val="FootnoteText"/>
      </w:pPr>
      <w:r>
        <w:rPr>
          <w:rStyle w:val="FootnoteReference"/>
        </w:rPr>
        <w:footnoteRef/>
      </w:r>
      <w:r>
        <w:t xml:space="preserve"> Full methodology for transfer station and waste disposal capacity is provided in Appendix A. </w:t>
      </w:r>
    </w:p>
  </w:footnote>
  <w:footnote w:id="17">
    <w:p w14:paraId="0E16BF18" w14:textId="77777777" w:rsidR="00CF466F" w:rsidRDefault="00CF466F" w:rsidP="00CF466F">
      <w:pPr>
        <w:pStyle w:val="FootnoteText"/>
      </w:pPr>
      <w:r>
        <w:rPr>
          <w:rStyle w:val="FootnoteReference"/>
        </w:rPr>
        <w:footnoteRef/>
      </w:r>
      <w:r>
        <w:t xml:space="preserve"> Includes leaves and grass and trimmings and prunings totaling 8.7% of the disposed waste residential waste stream according to the 2015 waste characterization study. </w:t>
      </w:r>
      <w:r>
        <w:rPr>
          <w:rFonts w:eastAsia="Times New Roman"/>
        </w:rPr>
        <w:t xml:space="preserve">MSW Consultants. (2016). </w:t>
      </w:r>
      <w:r>
        <w:rPr>
          <w:rFonts w:eastAsia="Times New Roman"/>
          <w:i/>
          <w:iCs/>
        </w:rPr>
        <w:t>Connecticut Department of Energy and Environmental Protection 2015 Statewide Waste Characterization Study Final Report</w:t>
      </w:r>
      <w:r>
        <w:rPr>
          <w:rFonts w:eastAsia="Times New Roman"/>
        </w:rPr>
        <w:t>.</w:t>
      </w:r>
    </w:p>
  </w:footnote>
  <w:footnote w:id="18">
    <w:p w14:paraId="0908A41D" w14:textId="77777777" w:rsidR="00CF466F" w:rsidRDefault="00CF466F" w:rsidP="00CF466F">
      <w:pPr>
        <w:pStyle w:val="FootnoteText"/>
      </w:pPr>
      <w:r w:rsidRPr="00432A2C">
        <w:rPr>
          <w:rStyle w:val="FootnoteReference"/>
          <w:sz w:val="18"/>
          <w:szCs w:val="18"/>
        </w:rPr>
        <w:footnoteRef/>
      </w:r>
      <w:r w:rsidRPr="00432A2C">
        <w:t xml:space="preserve"> Hladky, G. (2019, March 28). Connecticut throws away 520,000 tons of food every year. Hartford-based Blue Earth Compost hopes to change that. </w:t>
      </w:r>
      <w:r w:rsidRPr="00432A2C">
        <w:rPr>
          <w:i/>
          <w:iCs/>
        </w:rPr>
        <w:t>Hartford Courant</w:t>
      </w:r>
      <w:r w:rsidRPr="00432A2C">
        <w:t xml:space="preserve">. </w:t>
      </w:r>
      <w:hyperlink r:id="rId8" w:history="1">
        <w:r w:rsidRPr="00432A2C">
          <w:rPr>
            <w:rStyle w:val="Hyperlink"/>
            <w:rFonts w:eastAsia="Times New Roman"/>
            <w:sz w:val="18"/>
            <w:szCs w:val="18"/>
          </w:rPr>
          <w:t>https://www.courant.com/news/connecticut/hc-news-blue-earth-compost-update-20190328-qwdwwn2a5veaxbqp6ztp2kxzg4-story.html</w:t>
        </w:r>
      </w:hyperlink>
      <w:r>
        <w:t xml:space="preserve"> </w:t>
      </w:r>
    </w:p>
  </w:footnote>
  <w:footnote w:id="19">
    <w:p w14:paraId="7094824C" w14:textId="2BCD2170" w:rsidR="00206353" w:rsidRDefault="00206353" w:rsidP="00D14941">
      <w:pPr>
        <w:pStyle w:val="FootnoteText"/>
      </w:pPr>
      <w:r>
        <w:rPr>
          <w:rStyle w:val="FootnoteReference"/>
        </w:rPr>
        <w:footnoteRef/>
      </w:r>
      <w:r>
        <w:t xml:space="preserve"> </w:t>
      </w:r>
      <w:r w:rsidRPr="00206353">
        <w:t>From the data analysis evaluation for available WTE capacity, it was determined that there is approximately 4,600 TPD of available WTE waste capacity in a 350-mile radius from CRCOG. However due to the residue byproduct of waste incineration that still has to be disposed of, this number is further reduced by 25% leaving approximately 3,450 TPD of available WTE capacity.</w:t>
      </w:r>
    </w:p>
  </w:footnote>
  <w:footnote w:id="20">
    <w:p w14:paraId="3F36A278" w14:textId="77777777" w:rsidR="00415D3A" w:rsidRDefault="00415D3A" w:rsidP="00415D3A">
      <w:pPr>
        <w:pStyle w:val="FootnoteText"/>
      </w:pPr>
      <w:r>
        <w:rPr>
          <w:rStyle w:val="FootnoteReference"/>
        </w:rPr>
        <w:footnoteRef/>
      </w:r>
      <w:r>
        <w:t xml:space="preserve">MSW Consultants. (2016). </w:t>
      </w:r>
      <w:r>
        <w:rPr>
          <w:i/>
          <w:iCs/>
        </w:rPr>
        <w:t>Connecticut Department of Energy and Environmental Protection 2015 Statewide Waste Characterization Study Final Report</w:t>
      </w:r>
      <w:r>
        <w:t xml:space="preserve">. </w:t>
      </w:r>
      <w:hyperlink r:id="rId9" w:history="1">
        <w:r w:rsidRPr="00432A2C">
          <w:rPr>
            <w:rStyle w:val="Hyperlink"/>
            <w:rFonts w:eastAsia="Times New Roman"/>
            <w:sz w:val="20"/>
            <w:szCs w:val="20"/>
          </w:rPr>
          <w:t>https://portal.ct.gov/-/media/DEEP/waste_management_and_disposal/Solid_Waste_Management_Plan/CMMSFinal2015MSWCharacterizationStudypdf.pdf</w:t>
        </w:r>
      </w:hyperlink>
    </w:p>
  </w:footnote>
  <w:footnote w:id="21">
    <w:p w14:paraId="6D93CABD" w14:textId="7F9C3E73" w:rsidR="006A3FA8" w:rsidRDefault="006A3FA8">
      <w:pPr>
        <w:pStyle w:val="FootnoteText"/>
      </w:pPr>
      <w:r>
        <w:rPr>
          <w:rStyle w:val="FootnoteReference"/>
        </w:rPr>
        <w:footnoteRef/>
      </w:r>
      <w:r>
        <w:t xml:space="preserve"> </w:t>
      </w:r>
      <w:r w:rsidRPr="006A3FA8">
        <w:t>MIRA transfer station facilities, Casella of Holyoke Inc. Transfer Station, and UMass Amherst Intermedia Processing Facility</w:t>
      </w:r>
      <w:r w:rsidR="00C557CC">
        <w:t xml:space="preserve"> are not included in the transfer station facility count</w:t>
      </w:r>
      <w:r w:rsidRPr="006A3FA8">
        <w:t>.</w:t>
      </w:r>
    </w:p>
  </w:footnote>
  <w:footnote w:id="22">
    <w:p w14:paraId="176F2B12" w14:textId="77777777" w:rsidR="00C0577B" w:rsidRPr="00296867" w:rsidRDefault="00C0577B" w:rsidP="00C0577B">
      <w:pPr>
        <w:pStyle w:val="FootnoteText"/>
      </w:pPr>
      <w:r w:rsidRPr="0040274B">
        <w:rPr>
          <w:rStyle w:val="FootnoteReference"/>
          <w:sz w:val="18"/>
          <w:szCs w:val="18"/>
        </w:rPr>
        <w:footnoteRef/>
      </w:r>
      <w:r w:rsidRPr="0040274B">
        <w:t xml:space="preserve"> </w:t>
      </w:r>
      <w:r>
        <w:t>As noted in the data set information, d</w:t>
      </w:r>
      <w:r w:rsidRPr="0040274B">
        <w:t xml:space="preserve">estination </w:t>
      </w:r>
      <w:r>
        <w:t>f</w:t>
      </w:r>
      <w:r w:rsidRPr="0040274B">
        <w:t>acility represent</w:t>
      </w:r>
      <w:r>
        <w:t>s</w:t>
      </w:r>
      <w:r w:rsidRPr="0040274B">
        <w:t xml:space="preserve"> the first destination for the </w:t>
      </w:r>
      <w:r>
        <w:t xml:space="preserve">waste </w:t>
      </w:r>
      <w:r w:rsidRPr="0040274B">
        <w:t xml:space="preserve">material. Some of this material may end up going out of state as a subsequent destination, but it is difficult to attribute specific tonnages from specific towns as having been directed out of state unless it is sent from a transfer station that is unique to one municipality. </w:t>
      </w:r>
    </w:p>
  </w:footnote>
  <w:footnote w:id="23">
    <w:p w14:paraId="1ED417E6" w14:textId="77777777" w:rsidR="00C0577B" w:rsidRPr="00432A2C" w:rsidRDefault="00C0577B" w:rsidP="00C0577B">
      <w:pPr>
        <w:pStyle w:val="FootnoteText"/>
      </w:pPr>
      <w:r>
        <w:rPr>
          <w:rStyle w:val="FootnoteReference"/>
        </w:rPr>
        <w:footnoteRef/>
      </w:r>
      <w:r>
        <w:t xml:space="preserve"> E</w:t>
      </w:r>
      <w:r w:rsidRPr="00432A2C">
        <w:t xml:space="preserve">nvironmental Protection Agency. (2020). Advancing Sustainable Materials Management: 2018 Fact Sheet Assessing Trends in Materials Generation and Management in the United States. </w:t>
      </w:r>
      <w:hyperlink r:id="rId10" w:history="1">
        <w:r w:rsidRPr="00432A2C">
          <w:rPr>
            <w:rStyle w:val="Hyperlink"/>
            <w:rFonts w:eastAsia="Times New Roman"/>
            <w:sz w:val="18"/>
            <w:szCs w:val="18"/>
          </w:rPr>
          <w:t>https://www.epa.gov/sites/default/files/2021-01/documents/2018_ff_fact_sheet_dec_2020_fnl_508.pdf</w:t>
        </w:r>
      </w:hyperlink>
      <w:r w:rsidRPr="00432A2C">
        <w:t xml:space="preserve"> </w:t>
      </w:r>
    </w:p>
    <w:p w14:paraId="49A59B89" w14:textId="77777777" w:rsidR="00C0577B" w:rsidRDefault="00C0577B" w:rsidP="00C0577B">
      <w:pPr>
        <w:pStyle w:val="FootnoteText"/>
      </w:pPr>
    </w:p>
  </w:footnote>
  <w:footnote w:id="24">
    <w:p w14:paraId="21D112AA" w14:textId="77777777" w:rsidR="002D3570" w:rsidRDefault="002D3570" w:rsidP="002D3570">
      <w:pPr>
        <w:pStyle w:val="FootnoteText"/>
        <w:rPr>
          <w:rStyle w:val="Hyperlink"/>
          <w:sz w:val="18"/>
          <w:szCs w:val="18"/>
        </w:rPr>
      </w:pPr>
      <w:r w:rsidRPr="00432A2C">
        <w:footnoteRef/>
      </w:r>
      <w:r w:rsidRPr="00432A2C">
        <w:t xml:space="preserve"> Substitute Bill No. 277, Special Act No. 22-11: An Act Establishing a Solid Waste Working Group. Retrieved September 23, 2022, from </w:t>
      </w:r>
      <w:hyperlink r:id="rId11" w:history="1">
        <w:r w:rsidRPr="00E43C98">
          <w:rPr>
            <w:rStyle w:val="Hyperlink"/>
            <w:sz w:val="18"/>
            <w:szCs w:val="18"/>
          </w:rPr>
          <w:t>https://www.cga.ct.gov/2022/act/Sa/pdf/2022SA-00011-R00SB-00277-SA.PDF</w:t>
        </w:r>
      </w:hyperlink>
      <w:r>
        <w:rPr>
          <w:szCs w:val="18"/>
        </w:rPr>
        <w:t xml:space="preserve"> </w:t>
      </w:r>
    </w:p>
    <w:p w14:paraId="6CC5B775" w14:textId="77777777" w:rsidR="002D3570" w:rsidRPr="00F12295" w:rsidRDefault="002D3570" w:rsidP="002D3570">
      <w:pPr>
        <w:pStyle w:val="FootnoteText"/>
      </w:pPr>
    </w:p>
  </w:footnote>
  <w:footnote w:id="25">
    <w:p w14:paraId="781BEA14" w14:textId="77777777" w:rsidR="002D3570" w:rsidRPr="00432A2C" w:rsidRDefault="002D3570" w:rsidP="002D3570">
      <w:pPr>
        <w:pStyle w:val="FootnoteText"/>
      </w:pPr>
      <w:r w:rsidRPr="00C5682A">
        <w:rPr>
          <w:rStyle w:val="FootnoteReference"/>
          <w:szCs w:val="18"/>
        </w:rPr>
        <w:footnoteRef/>
      </w:r>
      <w:r w:rsidRPr="00C5682A">
        <w:t xml:space="preserve"> </w:t>
      </w:r>
      <w:r w:rsidRPr="00432A2C">
        <w:t xml:space="preserve">Connecticut Department of Energy and Environmental Protection. (n.d.-b). </w:t>
      </w:r>
      <w:r w:rsidRPr="00432A2C">
        <w:rPr>
          <w:i/>
          <w:iCs/>
        </w:rPr>
        <w:t>General Permit to Construct and Operate Certain Recycling Facilities: An Environmental Permitting Fact Sheet</w:t>
      </w:r>
      <w:r w:rsidRPr="00432A2C">
        <w:t xml:space="preserve">. Retrieved September 24, 2022 from </w:t>
      </w:r>
      <w:hyperlink r:id="rId12" w:history="1">
        <w:r w:rsidRPr="00432A2C">
          <w:rPr>
            <w:rStyle w:val="Hyperlink"/>
            <w:rFonts w:eastAsia="Times New Roman"/>
            <w:sz w:val="18"/>
            <w:szCs w:val="18"/>
          </w:rPr>
          <w:t>https://portal.ct.gov/DEEP/Permits-and-Licenses/Factsheets-Waste-and-Materials-Management/General-Permit-to-Construct-and-Operate-Certain-Recycling-Facilities</w:t>
        </w:r>
      </w:hyperlink>
      <w:r w:rsidRPr="00432A2C">
        <w:t xml:space="preserve">  </w:t>
      </w:r>
    </w:p>
    <w:p w14:paraId="61EFF4BA" w14:textId="77777777" w:rsidR="002D3570" w:rsidRPr="00432A2C" w:rsidRDefault="002D3570" w:rsidP="002D3570">
      <w:pPr>
        <w:pStyle w:val="FootnoteText"/>
      </w:pPr>
    </w:p>
  </w:footnote>
  <w:footnote w:id="26">
    <w:p w14:paraId="4D8C8053" w14:textId="77777777" w:rsidR="002D3570" w:rsidRPr="00432A2C" w:rsidRDefault="002D3570" w:rsidP="002D3570">
      <w:pPr>
        <w:pStyle w:val="FootnoteText"/>
        <w:rPr>
          <w:sz w:val="24"/>
          <w:szCs w:val="24"/>
        </w:rPr>
      </w:pPr>
      <w:r w:rsidRPr="00E83BF8">
        <w:rPr>
          <w:rStyle w:val="FootnoteReference"/>
          <w:szCs w:val="18"/>
        </w:rPr>
        <w:footnoteRef/>
      </w:r>
      <w:r w:rsidRPr="00E83BF8">
        <w:t xml:space="preserve"> </w:t>
      </w:r>
      <w:r w:rsidRPr="00432A2C">
        <w:t xml:space="preserve">Connecticut Department of Energy and Environment. (n.d.). </w:t>
      </w:r>
      <w:r w:rsidRPr="00432A2C">
        <w:rPr>
          <w:i/>
          <w:iCs/>
        </w:rPr>
        <w:t>Environmental Equity Policy</w:t>
      </w:r>
      <w:r w:rsidRPr="00432A2C">
        <w:t xml:space="preserve">. Retrieved September 23, 2022, from </w:t>
      </w:r>
      <w:hyperlink r:id="rId13" w:history="1">
        <w:r w:rsidRPr="00432A2C">
          <w:rPr>
            <w:rStyle w:val="Hyperlink"/>
            <w:rFonts w:eastAsia="Times New Roman"/>
            <w:sz w:val="18"/>
            <w:szCs w:val="18"/>
          </w:rPr>
          <w:t>https://portal.ct.gov/DEEP/Environmental-Justice/Environmental-Equity-Policy</w:t>
        </w:r>
      </w:hyperlink>
      <w:r w:rsidRPr="00432A2C">
        <w:t xml:space="preserve"> </w:t>
      </w:r>
    </w:p>
  </w:footnote>
  <w:footnote w:id="27">
    <w:p w14:paraId="2223DA8D" w14:textId="77777777" w:rsidR="002D3570" w:rsidRPr="00432A2C" w:rsidRDefault="002D3570" w:rsidP="002D3570">
      <w:pPr>
        <w:pStyle w:val="FootnoteText"/>
      </w:pPr>
      <w:r w:rsidRPr="00C73547">
        <w:rPr>
          <w:rStyle w:val="FootnoteReference"/>
          <w:szCs w:val="18"/>
        </w:rPr>
        <w:footnoteRef/>
      </w:r>
      <w:r w:rsidRPr="00C73547">
        <w:t xml:space="preserve"> </w:t>
      </w:r>
      <w:r w:rsidRPr="00432A2C">
        <w:t xml:space="preserve">House Bill 7008, September Special Session, Public Act 20-6: An Act Concerning Enhancements to the State’s Environmental Justice Law. Retrieved September 23, 2022, from </w:t>
      </w:r>
      <w:hyperlink r:id="rId14" w:history="1">
        <w:r w:rsidRPr="00432A2C">
          <w:rPr>
            <w:rStyle w:val="Hyperlink"/>
            <w:rFonts w:eastAsia="Times New Roman"/>
            <w:sz w:val="18"/>
            <w:szCs w:val="18"/>
          </w:rPr>
          <w:t>https://cga.ct.gov/2020/ACT/PA/PDF/2020PA-00006-R00HB-07008SS3-PA.PDF</w:t>
        </w:r>
      </w:hyperlink>
      <w:r w:rsidRPr="00432A2C">
        <w:t xml:space="preserve"> </w:t>
      </w:r>
    </w:p>
    <w:p w14:paraId="54842A5D" w14:textId="77777777" w:rsidR="002D3570" w:rsidRPr="00C73547" w:rsidRDefault="002D3570" w:rsidP="002D357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A178F" w14:textId="5A3B51D4" w:rsidR="0088007A" w:rsidRDefault="0088007A" w:rsidP="00530CF3">
    <w:pPr>
      <w:pStyle w:val="Header"/>
    </w:pPr>
    <w:r>
      <w:rPr>
        <w:noProof/>
      </w:rPr>
      <mc:AlternateContent>
        <mc:Choice Requires="wps">
          <w:drawing>
            <wp:anchor distT="0" distB="0" distL="114300" distR="114300" simplePos="0" relativeHeight="251658240" behindDoc="1" locked="0" layoutInCell="0" allowOverlap="1" wp14:anchorId="70EFFEAD" wp14:editId="2CCBC2B5">
              <wp:simplePos x="0" y="0"/>
              <wp:positionH relativeFrom="margin">
                <wp:align>center</wp:align>
              </wp:positionH>
              <wp:positionV relativeFrom="margin">
                <wp:align>center</wp:align>
              </wp:positionV>
              <wp:extent cx="6768465" cy="2256155"/>
              <wp:effectExtent l="0" t="0" r="0" b="0"/>
              <wp:wrapNone/>
              <wp:docPr id="39" name="PowerPlusWaterMarkObject56310265"/>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768465" cy="22561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9B1CB1" w14:textId="77777777" w:rsidR="0088007A" w:rsidRDefault="0088007A" w:rsidP="00530CF3">
                          <w:pPr>
                            <w:rPr>
                              <w:sz w:val="24"/>
                              <w:szCs w:val="24"/>
                            </w:rPr>
                          </w:pPr>
                          <w: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0EFFEAD" id="_x0000_t202" coordsize="21600,21600" o:spt="202" path="m,l,21600r21600,l21600,xe">
              <v:stroke joinstyle="miter"/>
              <v:path gradientshapeok="t" o:connecttype="rect"/>
            </v:shapetype>
            <v:shape id="PowerPlusWaterMarkObject56310265" o:spid="_x0000_s1037" type="#_x0000_t202" style="position:absolute;left:0;text-align:left;margin-left:0;margin-top:0;width:532.95pt;height:177.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" o:allowincell="f" filled="f" stroked="f">
              <v:stroke joinstyle="round"/>
              <o:lock v:ext="edit" rotation="t" aspectratio="t" verticies="t" adjusthandles="t" grouping="t" shapetype="t"/>
              <v:textbox>
                <w:txbxContent>
                  <w:p w14:paraId="479B1CB1" w14:textId="77777777" w:rsidR="0088007A" w:rsidRDefault="0088007A" w:rsidP="00530CF3">
                    <w:pPr>
                      <w:rPr>
                        <w:sz w:val="24"/>
                        <w:szCs w:val="24"/>
                      </w:rPr>
                    </w:pPr>
                    <w: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72DBA" w14:textId="26AA6CEF" w:rsidR="0088007A" w:rsidRDefault="0088007A" w:rsidP="00530CF3">
    <w:pPr>
      <w:pStyle w:val="Header"/>
    </w:pPr>
    <w:r>
      <w:tab/>
    </w:r>
  </w:p>
  <w:p w14:paraId="2D822B36" w14:textId="6D1C855D" w:rsidR="0088007A" w:rsidRDefault="0088007A" w:rsidP="00530CF3"/>
  <w:p w14:paraId="18772F5F" w14:textId="52B76B81" w:rsidR="00D6507C" w:rsidRPr="005603BD" w:rsidRDefault="00D22E22" w:rsidP="00D6507C">
    <w:pPr>
      <w:pStyle w:val="Footer"/>
      <w:rPr>
        <w:rStyle w:val="PageNumber"/>
        <w:color w:val="FFFFFF" w:themeColor="background1"/>
      </w:rPr>
    </w:pPr>
    <w:r w:rsidRPr="00B7625A">
      <w:rPr>
        <w:rStyle w:val="PageNumber"/>
        <w:noProof/>
        <w:color w:val="FFFFFF" w:themeColor="background1"/>
      </w:rPr>
      <w:drawing>
        <wp:anchor distT="0" distB="0" distL="114300" distR="114300" simplePos="0" relativeHeight="251658244" behindDoc="0" locked="0" layoutInCell="1" allowOverlap="1" wp14:anchorId="4F6CA78E" wp14:editId="65310BAF">
          <wp:simplePos x="0" y="0"/>
          <wp:positionH relativeFrom="column">
            <wp:posOffset>53975</wp:posOffset>
          </wp:positionH>
          <wp:positionV relativeFrom="paragraph">
            <wp:posOffset>42235</wp:posOffset>
          </wp:positionV>
          <wp:extent cx="857885" cy="287020"/>
          <wp:effectExtent l="0" t="0" r="5715"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7885" cy="287020"/>
                  </a:xfrm>
                  <a:prstGeom prst="rect">
                    <a:avLst/>
                  </a:prstGeom>
                </pic:spPr>
              </pic:pic>
            </a:graphicData>
          </a:graphic>
          <wp14:sizeRelH relativeFrom="page">
            <wp14:pctWidth>0</wp14:pctWidth>
          </wp14:sizeRelH>
          <wp14:sizeRelV relativeFrom="page">
            <wp14:pctHeight>0</wp14:pctHeight>
          </wp14:sizeRelV>
        </wp:anchor>
      </w:drawing>
    </w:r>
  </w:p>
  <w:p w14:paraId="1551CEFF" w14:textId="7942E90F" w:rsidR="00D6507C" w:rsidRPr="000925FD" w:rsidRDefault="00D6507C" w:rsidP="00D6507C">
    <w:pPr>
      <w:pStyle w:val="Footer"/>
      <w:jc w:val="right"/>
      <w:rPr>
        <w:rFonts w:ascii="Georgia" w:hAnsi="Georgia" w:cs="Arial (Body CS)"/>
        <w:color w:val="3A3737" w:themeColor="text1"/>
        <w:spacing w:val="4"/>
        <w:sz w:val="18"/>
        <w:szCs w:val="16"/>
      </w:rPr>
    </w:pPr>
    <w:r w:rsidRPr="000925FD">
      <w:rPr>
        <w:rStyle w:val="PageNumber"/>
        <w:rFonts w:ascii="Georgia" w:hAnsi="Georgia" w:cs="Arial (Body CS)"/>
        <w:color w:val="3A3737" w:themeColor="text1"/>
        <w:spacing w:val="4"/>
        <w:sz w:val="16"/>
        <w:szCs w:val="15"/>
      </w:rPr>
      <w:t xml:space="preserve">SOLID WASTE FACILITY INVENTORY </w:t>
    </w:r>
    <w:r w:rsidR="00C41290">
      <w:rPr>
        <w:rStyle w:val="PageNumber"/>
        <w:rFonts w:ascii="Georgia" w:hAnsi="Georgia" w:cs="Arial (Body CS)"/>
        <w:color w:val="3A3737" w:themeColor="text1"/>
        <w:spacing w:val="4"/>
        <w:sz w:val="16"/>
        <w:szCs w:val="15"/>
      </w:rPr>
      <w:t>AND</w:t>
    </w:r>
    <w:r w:rsidRPr="000925FD">
      <w:rPr>
        <w:rStyle w:val="PageNumber"/>
        <w:rFonts w:ascii="Georgia" w:hAnsi="Georgia" w:cs="Arial (Body CS)"/>
        <w:color w:val="3A3737" w:themeColor="text1"/>
        <w:spacing w:val="4"/>
        <w:sz w:val="16"/>
        <w:szCs w:val="15"/>
      </w:rPr>
      <w:t xml:space="preserve"> SYSTEM ASSESSMENT</w:t>
    </w:r>
    <w:r w:rsidRPr="000925FD">
      <w:rPr>
        <w:rStyle w:val="PageNumber"/>
        <w:rFonts w:ascii="Georgia" w:hAnsi="Georgia" w:cs="Arial (Body CS)"/>
        <w:b/>
        <w:bCs/>
        <w:color w:val="3A3737" w:themeColor="text1"/>
        <w:spacing w:val="4"/>
        <w:sz w:val="16"/>
        <w:szCs w:val="15"/>
      </w:rPr>
      <w:t xml:space="preserve">   </w:t>
    </w:r>
    <w:r w:rsidRPr="000925FD">
      <w:rPr>
        <w:rStyle w:val="PageNumber"/>
        <w:rFonts w:ascii="Georgia" w:hAnsi="Georgia" w:cs="Arial (Body CS)"/>
        <w:b/>
        <w:bCs/>
        <w:color w:val="1D666E" w:themeColor="accent1"/>
        <w:spacing w:val="4"/>
        <w:sz w:val="18"/>
        <w:szCs w:val="16"/>
      </w:rPr>
      <w:t xml:space="preserve">| </w:t>
    </w:r>
    <w:r w:rsidRPr="000925FD">
      <w:rPr>
        <w:rStyle w:val="PageNumber"/>
        <w:rFonts w:ascii="Georgia" w:hAnsi="Georgia" w:cs="Arial (Body CS)"/>
        <w:b/>
        <w:bCs/>
        <w:color w:val="3A3737" w:themeColor="text1"/>
        <w:spacing w:val="4"/>
        <w:sz w:val="18"/>
        <w:szCs w:val="16"/>
      </w:rPr>
      <w:t xml:space="preserve"> </w:t>
    </w:r>
    <w:r w:rsidRPr="000925FD">
      <w:rPr>
        <w:rStyle w:val="PageNumber"/>
        <w:rFonts w:ascii="Georgia" w:hAnsi="Georgia" w:cs="Arial (Body CS)"/>
        <w:b/>
        <w:bCs/>
        <w:color w:val="3A3737" w:themeColor="text1"/>
        <w:spacing w:val="4"/>
        <w:sz w:val="18"/>
        <w:szCs w:val="16"/>
      </w:rPr>
      <w:fldChar w:fldCharType="begin"/>
    </w:r>
    <w:r w:rsidRPr="000925FD">
      <w:rPr>
        <w:rStyle w:val="PageNumber"/>
        <w:rFonts w:ascii="Georgia" w:hAnsi="Georgia" w:cs="Arial (Body CS)"/>
        <w:b/>
        <w:bCs/>
        <w:color w:val="3A3737" w:themeColor="text1"/>
        <w:spacing w:val="4"/>
        <w:sz w:val="18"/>
        <w:szCs w:val="16"/>
      </w:rPr>
      <w:instrText xml:space="preserve">PAGE  </w:instrText>
    </w:r>
    <w:r w:rsidRPr="000925FD">
      <w:rPr>
        <w:rStyle w:val="PageNumber"/>
        <w:rFonts w:ascii="Georgia" w:hAnsi="Georgia" w:cs="Arial (Body CS)"/>
        <w:b/>
        <w:bCs/>
        <w:color w:val="3A3737" w:themeColor="text1"/>
        <w:spacing w:val="4"/>
        <w:sz w:val="18"/>
        <w:szCs w:val="16"/>
      </w:rPr>
      <w:fldChar w:fldCharType="separate"/>
    </w:r>
    <w:r w:rsidRPr="000925FD">
      <w:rPr>
        <w:rStyle w:val="PageNumber"/>
        <w:rFonts w:ascii="Georgia" w:hAnsi="Georgia" w:cs="Arial (Body CS)"/>
        <w:b/>
        <w:bCs/>
        <w:color w:val="3A3737" w:themeColor="text1"/>
        <w:spacing w:val="4"/>
        <w:sz w:val="18"/>
        <w:szCs w:val="16"/>
      </w:rPr>
      <w:t>2</w:t>
    </w:r>
    <w:r w:rsidRPr="000925FD">
      <w:rPr>
        <w:rStyle w:val="PageNumber"/>
        <w:rFonts w:ascii="Georgia" w:hAnsi="Georgia" w:cs="Arial (Body CS)"/>
        <w:b/>
        <w:bCs/>
        <w:color w:val="3A3737" w:themeColor="text1"/>
        <w:spacing w:val="4"/>
        <w:sz w:val="18"/>
        <w:szCs w:val="16"/>
      </w:rPr>
      <w:fldChar w:fldCharType="end"/>
    </w:r>
  </w:p>
  <w:p w14:paraId="2F61169F" w14:textId="7B4F405F" w:rsidR="00D6507C" w:rsidRPr="00F03A7C" w:rsidRDefault="00D6507C" w:rsidP="00D6507C">
    <w:pPr>
      <w:pStyle w:val="Footer"/>
      <w:jc w:val="right"/>
      <w:rPr>
        <w:rFonts w:ascii="Georgia" w:hAnsi="Georgia"/>
        <w:color w:val="3A3737" w:themeColor="text1"/>
        <w:sz w:val="18"/>
        <w:szCs w:val="16"/>
      </w:rPr>
    </w:pPr>
    <w:r>
      <w:rPr>
        <w:noProof/>
        <w:sz w:val="48"/>
      </w:rPr>
      <mc:AlternateContent>
        <mc:Choice Requires="wps">
          <w:drawing>
            <wp:anchor distT="0" distB="0" distL="114300" distR="114300" simplePos="0" relativeHeight="251658241" behindDoc="0" locked="0" layoutInCell="1" allowOverlap="1" wp14:anchorId="3AAD93B3" wp14:editId="31BF2D78">
              <wp:simplePos x="0" y="0"/>
              <wp:positionH relativeFrom="column">
                <wp:posOffset>-27305</wp:posOffset>
              </wp:positionH>
              <wp:positionV relativeFrom="paragraph">
                <wp:posOffset>102870</wp:posOffset>
              </wp:positionV>
              <wp:extent cx="6557099" cy="0"/>
              <wp:effectExtent l="0" t="12700" r="21590" b="12700"/>
              <wp:wrapNone/>
              <wp:docPr id="10" name="Straight Connector 10"/>
              <wp:cNvGraphicFramePr/>
              <a:graphic xmlns:a="http://schemas.openxmlformats.org/drawingml/2006/main">
                <a:graphicData uri="http://schemas.microsoft.com/office/word/2010/wordprocessingShape">
                  <wps:wsp>
                    <wps:cNvCnPr/>
                    <wps:spPr>
                      <a:xfrm>
                        <a:off x="0" y="0"/>
                        <a:ext cx="6557099"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4572DCDE" id="Straight Connector 10"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2.15pt,8.1pt" to="514.1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" strokecolor="#1d666e [3204]" strokeweight="2.25pt">
              <v:stroke joinstyle="miter"/>
            </v:line>
          </w:pict>
        </mc:Fallback>
      </mc:AlternateContent>
    </w:r>
  </w:p>
  <w:p w14:paraId="75C08D02" w14:textId="5A3D84D1" w:rsidR="0088007A" w:rsidRDefault="0088007A" w:rsidP="00530CF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81D59" w14:textId="77777777" w:rsidR="009F49AA" w:rsidRDefault="009F49AA" w:rsidP="009F49AA">
    <w:pPr>
      <w:pStyle w:val="Header"/>
    </w:pPr>
    <w:r>
      <w:tab/>
    </w:r>
  </w:p>
  <w:p w14:paraId="1E9AC370" w14:textId="77777777" w:rsidR="009F49AA" w:rsidRDefault="009F49AA" w:rsidP="009F49AA"/>
  <w:p w14:paraId="32486CF1" w14:textId="77777777" w:rsidR="009F49AA" w:rsidRPr="005603BD" w:rsidRDefault="009F49AA" w:rsidP="009F49AA">
    <w:pPr>
      <w:pStyle w:val="Footer"/>
      <w:rPr>
        <w:rStyle w:val="PageNumber"/>
        <w:color w:val="FFFFFF" w:themeColor="background1"/>
      </w:rPr>
    </w:pPr>
    <w:r w:rsidRPr="00B7625A">
      <w:rPr>
        <w:rStyle w:val="PageNumber"/>
        <w:noProof/>
        <w:color w:val="FFFFFF" w:themeColor="background1"/>
      </w:rPr>
      <w:drawing>
        <wp:anchor distT="0" distB="0" distL="114300" distR="114300" simplePos="0" relativeHeight="251658243" behindDoc="0" locked="0" layoutInCell="1" allowOverlap="1" wp14:anchorId="193780ED" wp14:editId="0159B2B5">
          <wp:simplePos x="0" y="0"/>
          <wp:positionH relativeFrom="column">
            <wp:posOffset>53975</wp:posOffset>
          </wp:positionH>
          <wp:positionV relativeFrom="paragraph">
            <wp:posOffset>42235</wp:posOffset>
          </wp:positionV>
          <wp:extent cx="857885" cy="287020"/>
          <wp:effectExtent l="0" t="0" r="5715" b="5080"/>
          <wp:wrapNone/>
          <wp:docPr id="25" name="Picture 25" descr="A picture containing text, plate, dishware,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plate, dishware, table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57885" cy="287020"/>
                  </a:xfrm>
                  <a:prstGeom prst="rect">
                    <a:avLst/>
                  </a:prstGeom>
                </pic:spPr>
              </pic:pic>
            </a:graphicData>
          </a:graphic>
          <wp14:sizeRelH relativeFrom="page">
            <wp14:pctWidth>0</wp14:pctWidth>
          </wp14:sizeRelH>
          <wp14:sizeRelV relativeFrom="page">
            <wp14:pctHeight>0</wp14:pctHeight>
          </wp14:sizeRelV>
        </wp:anchor>
      </w:drawing>
    </w:r>
  </w:p>
  <w:p w14:paraId="1F881772" w14:textId="6A21623E" w:rsidR="009F49AA" w:rsidRPr="000925FD" w:rsidRDefault="009F49AA" w:rsidP="009F49AA">
    <w:pPr>
      <w:pStyle w:val="Footer"/>
      <w:jc w:val="right"/>
      <w:rPr>
        <w:rFonts w:ascii="Georgia" w:hAnsi="Georgia" w:cs="Arial (Body CS)"/>
        <w:color w:val="3A3737" w:themeColor="text1"/>
        <w:spacing w:val="4"/>
        <w:sz w:val="18"/>
        <w:szCs w:val="16"/>
      </w:rPr>
    </w:pPr>
    <w:r w:rsidRPr="000925FD">
      <w:rPr>
        <w:rStyle w:val="PageNumber"/>
        <w:rFonts w:ascii="Georgia" w:hAnsi="Georgia" w:cs="Arial (Body CS)"/>
        <w:color w:val="3A3737" w:themeColor="text1"/>
        <w:spacing w:val="4"/>
        <w:sz w:val="16"/>
        <w:szCs w:val="15"/>
      </w:rPr>
      <w:t xml:space="preserve">SOLID WASTE FACILITY INVENTORY </w:t>
    </w:r>
    <w:r w:rsidR="009B7A9B">
      <w:rPr>
        <w:rStyle w:val="PageNumber"/>
        <w:rFonts w:ascii="Georgia" w:hAnsi="Georgia" w:cs="Arial (Body CS)"/>
        <w:color w:val="3A3737" w:themeColor="text1"/>
        <w:spacing w:val="4"/>
        <w:sz w:val="16"/>
        <w:szCs w:val="15"/>
      </w:rPr>
      <w:t>AND</w:t>
    </w:r>
    <w:r w:rsidRPr="000925FD">
      <w:rPr>
        <w:rStyle w:val="PageNumber"/>
        <w:rFonts w:ascii="Georgia" w:hAnsi="Georgia" w:cs="Arial (Body CS)"/>
        <w:color w:val="3A3737" w:themeColor="text1"/>
        <w:spacing w:val="4"/>
        <w:sz w:val="16"/>
        <w:szCs w:val="15"/>
      </w:rPr>
      <w:t xml:space="preserve"> SYSTEM ASSESSMENT</w:t>
    </w:r>
    <w:r w:rsidRPr="000925FD">
      <w:rPr>
        <w:rStyle w:val="PageNumber"/>
        <w:rFonts w:ascii="Georgia" w:hAnsi="Georgia" w:cs="Arial (Body CS)"/>
        <w:b/>
        <w:bCs/>
        <w:color w:val="3A3737" w:themeColor="text1"/>
        <w:spacing w:val="4"/>
        <w:sz w:val="16"/>
        <w:szCs w:val="15"/>
      </w:rPr>
      <w:t xml:space="preserve">   </w:t>
    </w:r>
    <w:r w:rsidRPr="000925FD">
      <w:rPr>
        <w:rStyle w:val="PageNumber"/>
        <w:rFonts w:ascii="Georgia" w:hAnsi="Georgia" w:cs="Arial (Body CS)"/>
        <w:b/>
        <w:bCs/>
        <w:color w:val="1D666E" w:themeColor="accent1"/>
        <w:spacing w:val="4"/>
        <w:sz w:val="18"/>
        <w:szCs w:val="16"/>
      </w:rPr>
      <w:t xml:space="preserve">| </w:t>
    </w:r>
    <w:r w:rsidRPr="000925FD">
      <w:rPr>
        <w:rStyle w:val="PageNumber"/>
        <w:rFonts w:ascii="Georgia" w:hAnsi="Georgia" w:cs="Arial (Body CS)"/>
        <w:b/>
        <w:bCs/>
        <w:color w:val="3A3737" w:themeColor="text1"/>
        <w:spacing w:val="4"/>
        <w:sz w:val="18"/>
        <w:szCs w:val="16"/>
      </w:rPr>
      <w:t xml:space="preserve"> </w:t>
    </w:r>
    <w:r w:rsidRPr="000925FD">
      <w:rPr>
        <w:rStyle w:val="PageNumber"/>
        <w:rFonts w:ascii="Georgia" w:hAnsi="Georgia" w:cs="Arial (Body CS)"/>
        <w:b/>
        <w:bCs/>
        <w:color w:val="3A3737" w:themeColor="text1"/>
        <w:spacing w:val="4"/>
        <w:sz w:val="18"/>
        <w:szCs w:val="16"/>
      </w:rPr>
      <w:fldChar w:fldCharType="begin"/>
    </w:r>
    <w:r w:rsidRPr="000925FD">
      <w:rPr>
        <w:rStyle w:val="PageNumber"/>
        <w:rFonts w:ascii="Georgia" w:hAnsi="Georgia" w:cs="Arial (Body CS)"/>
        <w:b/>
        <w:bCs/>
        <w:color w:val="3A3737" w:themeColor="text1"/>
        <w:spacing w:val="4"/>
        <w:sz w:val="18"/>
        <w:szCs w:val="16"/>
      </w:rPr>
      <w:instrText xml:space="preserve">PAGE  </w:instrText>
    </w:r>
    <w:r w:rsidRPr="000925FD">
      <w:rPr>
        <w:rStyle w:val="PageNumber"/>
        <w:rFonts w:ascii="Georgia" w:hAnsi="Georgia" w:cs="Arial (Body CS)"/>
        <w:b/>
        <w:bCs/>
        <w:color w:val="3A3737" w:themeColor="text1"/>
        <w:spacing w:val="4"/>
        <w:sz w:val="18"/>
        <w:szCs w:val="16"/>
      </w:rPr>
      <w:fldChar w:fldCharType="separate"/>
    </w:r>
    <w:r>
      <w:rPr>
        <w:rStyle w:val="PageNumber"/>
        <w:rFonts w:ascii="Georgia" w:hAnsi="Georgia" w:cs="Arial (Body CS)"/>
        <w:b/>
        <w:bCs/>
        <w:color w:val="3A3737" w:themeColor="text1"/>
        <w:spacing w:val="4"/>
        <w:sz w:val="18"/>
        <w:szCs w:val="16"/>
      </w:rPr>
      <w:t>37</w:t>
    </w:r>
    <w:r w:rsidRPr="000925FD">
      <w:rPr>
        <w:rStyle w:val="PageNumber"/>
        <w:rFonts w:ascii="Georgia" w:hAnsi="Georgia" w:cs="Arial (Body CS)"/>
        <w:b/>
        <w:bCs/>
        <w:color w:val="3A3737" w:themeColor="text1"/>
        <w:spacing w:val="4"/>
        <w:sz w:val="18"/>
        <w:szCs w:val="16"/>
      </w:rPr>
      <w:fldChar w:fldCharType="end"/>
    </w:r>
  </w:p>
  <w:p w14:paraId="44B9712C" w14:textId="155C5C8C" w:rsidR="009F49AA" w:rsidRPr="009F49AA" w:rsidRDefault="009F49AA" w:rsidP="009F49AA">
    <w:pPr>
      <w:pStyle w:val="Footer"/>
      <w:jc w:val="right"/>
      <w:rPr>
        <w:rFonts w:ascii="Georgia" w:hAnsi="Georgia"/>
        <w:color w:val="3A3737" w:themeColor="text1"/>
        <w:sz w:val="18"/>
        <w:szCs w:val="16"/>
      </w:rPr>
    </w:pPr>
    <w:r>
      <w:rPr>
        <w:noProof/>
        <w:sz w:val="48"/>
      </w:rPr>
      <mc:AlternateContent>
        <mc:Choice Requires="wps">
          <w:drawing>
            <wp:anchor distT="0" distB="0" distL="114300" distR="114300" simplePos="0" relativeHeight="251658242" behindDoc="0" locked="0" layoutInCell="1" allowOverlap="1" wp14:anchorId="69297C7A" wp14:editId="77995366">
              <wp:simplePos x="0" y="0"/>
              <wp:positionH relativeFrom="column">
                <wp:posOffset>-27305</wp:posOffset>
              </wp:positionH>
              <wp:positionV relativeFrom="paragraph">
                <wp:posOffset>102870</wp:posOffset>
              </wp:positionV>
              <wp:extent cx="6557099" cy="0"/>
              <wp:effectExtent l="0" t="12700" r="21590" b="12700"/>
              <wp:wrapNone/>
              <wp:docPr id="22" name="Straight Connector 22"/>
              <wp:cNvGraphicFramePr/>
              <a:graphic xmlns:a="http://schemas.openxmlformats.org/drawingml/2006/main">
                <a:graphicData uri="http://schemas.microsoft.com/office/word/2010/wordprocessingShape">
                  <wps:wsp>
                    <wps:cNvCnPr/>
                    <wps:spPr>
                      <a:xfrm>
                        <a:off x="0" y="0"/>
                        <a:ext cx="6557099"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5454818D" id="Straight Connector 22" o:spid="_x0000_s1026"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2.15pt,8.1pt" to="514.1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" strokecolor="#1d666e [3204]" strokeweight="2.25pt">
              <v:stroke joinstyle="miter"/>
            </v:line>
          </w:pict>
        </mc:Fallback>
      </mc:AlternateContent>
    </w:r>
  </w:p>
  <w:p w14:paraId="0EE290B7" w14:textId="5D8E5B0E" w:rsidR="007B0B43" w:rsidRPr="009F49AA" w:rsidRDefault="007B0B43" w:rsidP="009F49AA">
    <w:pPr>
      <w:pStyle w:val="Footer"/>
      <w:jc w:val="right"/>
      <w:rPr>
        <w:rFonts w:ascii="Georgia" w:hAnsi="Georgia"/>
        <w:color w:val="3A3737" w:themeColor="text1"/>
        <w:sz w:val="18"/>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5076F"/>
    <w:multiLevelType w:val="hybridMultilevel"/>
    <w:tmpl w:val="D3363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56890"/>
    <w:multiLevelType w:val="hybridMultilevel"/>
    <w:tmpl w:val="6C9E5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884750"/>
    <w:multiLevelType w:val="hybridMultilevel"/>
    <w:tmpl w:val="0E00959C"/>
    <w:lvl w:ilvl="0" w:tplc="F862890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F72247"/>
    <w:multiLevelType w:val="hybridMultilevel"/>
    <w:tmpl w:val="4A60A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C24E4F"/>
    <w:multiLevelType w:val="hybridMultilevel"/>
    <w:tmpl w:val="E3ACEE1C"/>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5" w15:restartNumberingAfterBreak="0">
    <w:nsid w:val="0EF57196"/>
    <w:multiLevelType w:val="hybridMultilevel"/>
    <w:tmpl w:val="AFD616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F735F40"/>
    <w:multiLevelType w:val="hybridMultilevel"/>
    <w:tmpl w:val="51EC3C00"/>
    <w:lvl w:ilvl="0" w:tplc="F862890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D2E1C"/>
    <w:multiLevelType w:val="hybridMultilevel"/>
    <w:tmpl w:val="69C8A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6179BD"/>
    <w:multiLevelType w:val="hybridMultilevel"/>
    <w:tmpl w:val="DB5259E0"/>
    <w:lvl w:ilvl="0" w:tplc="34480FF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E160B3"/>
    <w:multiLevelType w:val="hybridMultilevel"/>
    <w:tmpl w:val="4FF49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AC10D5"/>
    <w:multiLevelType w:val="hybridMultilevel"/>
    <w:tmpl w:val="27624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6605DF"/>
    <w:multiLevelType w:val="hybridMultilevel"/>
    <w:tmpl w:val="D0FE5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6B1E13"/>
    <w:multiLevelType w:val="hybridMultilevel"/>
    <w:tmpl w:val="D5DAC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A76BCC"/>
    <w:multiLevelType w:val="hybridMultilevel"/>
    <w:tmpl w:val="70F4A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631CA4"/>
    <w:multiLevelType w:val="hybridMultilevel"/>
    <w:tmpl w:val="1194C6A6"/>
    <w:lvl w:ilvl="0" w:tplc="B746877E">
      <w:start w:val="1"/>
      <w:numFmt w:val="bullet"/>
      <w:pStyle w:val="ExperienceInsetBulletred"/>
      <w:lvlText w:val=""/>
      <w:lvlJc w:val="left"/>
      <w:pPr>
        <w:ind w:left="1440" w:hanging="360"/>
      </w:pPr>
      <w:rPr>
        <w:rFonts w:ascii="Symbol" w:hAnsi="Symbol" w:hint="default"/>
        <w:color w:val="90B0EC" w:themeColor="accent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F1B5067"/>
    <w:multiLevelType w:val="hybridMultilevel"/>
    <w:tmpl w:val="6EFC2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663B69"/>
    <w:multiLevelType w:val="hybridMultilevel"/>
    <w:tmpl w:val="186E7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0E680B"/>
    <w:multiLevelType w:val="hybridMultilevel"/>
    <w:tmpl w:val="70A84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6F1704"/>
    <w:multiLevelType w:val="hybridMultilevel"/>
    <w:tmpl w:val="55E0D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AD6F2E"/>
    <w:multiLevelType w:val="hybridMultilevel"/>
    <w:tmpl w:val="1D8CE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B22D08"/>
    <w:multiLevelType w:val="hybridMultilevel"/>
    <w:tmpl w:val="A6F8E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2D7432"/>
    <w:multiLevelType w:val="hybridMultilevel"/>
    <w:tmpl w:val="00A87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A04E71"/>
    <w:multiLevelType w:val="hybridMultilevel"/>
    <w:tmpl w:val="FA9A9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4C7E28"/>
    <w:multiLevelType w:val="hybridMultilevel"/>
    <w:tmpl w:val="5128E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945A63"/>
    <w:multiLevelType w:val="hybridMultilevel"/>
    <w:tmpl w:val="C9729F66"/>
    <w:lvl w:ilvl="0" w:tplc="F862890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0A7AC8"/>
    <w:multiLevelType w:val="hybridMultilevel"/>
    <w:tmpl w:val="4DC00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5B72A8"/>
    <w:multiLevelType w:val="hybridMultilevel"/>
    <w:tmpl w:val="F0BC09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F5F41CF"/>
    <w:multiLevelType w:val="hybridMultilevel"/>
    <w:tmpl w:val="C518A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A84FCE"/>
    <w:multiLevelType w:val="hybridMultilevel"/>
    <w:tmpl w:val="B49E9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644D31"/>
    <w:multiLevelType w:val="hybridMultilevel"/>
    <w:tmpl w:val="2E467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D827EC"/>
    <w:multiLevelType w:val="hybridMultilevel"/>
    <w:tmpl w:val="62AAA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230849"/>
    <w:multiLevelType w:val="hybridMultilevel"/>
    <w:tmpl w:val="325A2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E6414D"/>
    <w:multiLevelType w:val="hybridMultilevel"/>
    <w:tmpl w:val="EB3AD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60670B"/>
    <w:multiLevelType w:val="hybridMultilevel"/>
    <w:tmpl w:val="B5A03810"/>
    <w:lvl w:ilvl="0" w:tplc="1A0CB054">
      <w:start w:val="1"/>
      <w:numFmt w:val="decimal"/>
      <w:pStyle w:val="NumberedLis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7D071D"/>
    <w:multiLevelType w:val="hybridMultilevel"/>
    <w:tmpl w:val="29FC1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B15261"/>
    <w:multiLevelType w:val="hybridMultilevel"/>
    <w:tmpl w:val="DAA215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684CAD"/>
    <w:multiLevelType w:val="hybridMultilevel"/>
    <w:tmpl w:val="A5403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F372E5"/>
    <w:multiLevelType w:val="hybridMultilevel"/>
    <w:tmpl w:val="D5C20918"/>
    <w:lvl w:ilvl="0" w:tplc="34B68E96">
      <w:start w:val="1"/>
      <w:numFmt w:val="bullet"/>
      <w:pStyle w:val="Bullets"/>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A6E2FBB"/>
    <w:multiLevelType w:val="hybridMultilevel"/>
    <w:tmpl w:val="BB5E7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5C6C6A"/>
    <w:multiLevelType w:val="hybridMultilevel"/>
    <w:tmpl w:val="141CFED0"/>
    <w:lvl w:ilvl="0" w:tplc="F862890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512063"/>
    <w:multiLevelType w:val="hybridMultilevel"/>
    <w:tmpl w:val="3B12A65E"/>
    <w:lvl w:ilvl="0" w:tplc="F862890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0546883">
    <w:abstractNumId w:val="33"/>
  </w:num>
  <w:num w:numId="2" w16cid:durableId="1525249666">
    <w:abstractNumId w:val="37"/>
  </w:num>
  <w:num w:numId="3" w16cid:durableId="1370569635">
    <w:abstractNumId w:val="14"/>
  </w:num>
  <w:num w:numId="4" w16cid:durableId="1060904207">
    <w:abstractNumId w:val="6"/>
  </w:num>
  <w:num w:numId="5" w16cid:durableId="1176579997">
    <w:abstractNumId w:val="39"/>
  </w:num>
  <w:num w:numId="6" w16cid:durableId="829755467">
    <w:abstractNumId w:val="40"/>
  </w:num>
  <w:num w:numId="7" w16cid:durableId="1218275800">
    <w:abstractNumId w:val="24"/>
  </w:num>
  <w:num w:numId="8" w16cid:durableId="440074647">
    <w:abstractNumId w:val="2"/>
  </w:num>
  <w:num w:numId="9" w16cid:durableId="1609583648">
    <w:abstractNumId w:val="19"/>
  </w:num>
  <w:num w:numId="10" w16cid:durableId="1137335582">
    <w:abstractNumId w:val="35"/>
  </w:num>
  <w:num w:numId="11" w16cid:durableId="1011882644">
    <w:abstractNumId w:val="10"/>
  </w:num>
  <w:num w:numId="12" w16cid:durableId="1405950061">
    <w:abstractNumId w:val="18"/>
  </w:num>
  <w:num w:numId="13" w16cid:durableId="1517961745">
    <w:abstractNumId w:val="9"/>
  </w:num>
  <w:num w:numId="14" w16cid:durableId="1864174544">
    <w:abstractNumId w:val="32"/>
  </w:num>
  <w:num w:numId="15" w16cid:durableId="481968668">
    <w:abstractNumId w:val="13"/>
  </w:num>
  <w:num w:numId="16" w16cid:durableId="189876244">
    <w:abstractNumId w:val="1"/>
  </w:num>
  <w:num w:numId="17" w16cid:durableId="1149521619">
    <w:abstractNumId w:val="16"/>
  </w:num>
  <w:num w:numId="18" w16cid:durableId="1286157704">
    <w:abstractNumId w:val="26"/>
  </w:num>
  <w:num w:numId="19" w16cid:durableId="534123907">
    <w:abstractNumId w:val="17"/>
  </w:num>
  <w:num w:numId="20" w16cid:durableId="1295403452">
    <w:abstractNumId w:val="8"/>
  </w:num>
  <w:num w:numId="21" w16cid:durableId="906960189">
    <w:abstractNumId w:val="4"/>
  </w:num>
  <w:num w:numId="22" w16cid:durableId="756512225">
    <w:abstractNumId w:val="30"/>
  </w:num>
  <w:num w:numId="23" w16cid:durableId="139929094">
    <w:abstractNumId w:val="23"/>
  </w:num>
  <w:num w:numId="24" w16cid:durableId="1835803347">
    <w:abstractNumId w:val="5"/>
  </w:num>
  <w:num w:numId="25" w16cid:durableId="1820075299">
    <w:abstractNumId w:val="7"/>
  </w:num>
  <w:num w:numId="26" w16cid:durableId="835340247">
    <w:abstractNumId w:val="12"/>
  </w:num>
  <w:num w:numId="27" w16cid:durableId="37632505">
    <w:abstractNumId w:val="22"/>
  </w:num>
  <w:num w:numId="28" w16cid:durableId="1461460877">
    <w:abstractNumId w:val="20"/>
  </w:num>
  <w:num w:numId="29" w16cid:durableId="772626025">
    <w:abstractNumId w:val="3"/>
  </w:num>
  <w:num w:numId="30" w16cid:durableId="4527806">
    <w:abstractNumId w:val="38"/>
  </w:num>
  <w:num w:numId="31" w16cid:durableId="1817451642">
    <w:abstractNumId w:val="21"/>
  </w:num>
  <w:num w:numId="32" w16cid:durableId="1745831734">
    <w:abstractNumId w:val="28"/>
  </w:num>
  <w:num w:numId="33" w16cid:durableId="152112975">
    <w:abstractNumId w:val="27"/>
  </w:num>
  <w:num w:numId="34" w16cid:durableId="1806699758">
    <w:abstractNumId w:val="25"/>
  </w:num>
  <w:num w:numId="35" w16cid:durableId="1723480665">
    <w:abstractNumId w:val="11"/>
  </w:num>
  <w:num w:numId="36" w16cid:durableId="361781581">
    <w:abstractNumId w:val="15"/>
  </w:num>
  <w:num w:numId="37" w16cid:durableId="1562252264">
    <w:abstractNumId w:val="36"/>
  </w:num>
  <w:num w:numId="38" w16cid:durableId="483661694">
    <w:abstractNumId w:val="34"/>
  </w:num>
  <w:num w:numId="39" w16cid:durableId="1708723882">
    <w:abstractNumId w:val="0"/>
  </w:num>
  <w:num w:numId="40" w16cid:durableId="1358460341">
    <w:abstractNumId w:val="31"/>
  </w:num>
  <w:num w:numId="41" w16cid:durableId="1325861302">
    <w:abstractNumId w:val="2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doNotShadeFormData/>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2C3"/>
    <w:rsid w:val="00000325"/>
    <w:rsid w:val="00000F9C"/>
    <w:rsid w:val="000021B2"/>
    <w:rsid w:val="000021DB"/>
    <w:rsid w:val="000026C7"/>
    <w:rsid w:val="000028E0"/>
    <w:rsid w:val="00002DF3"/>
    <w:rsid w:val="000045B1"/>
    <w:rsid w:val="0000486A"/>
    <w:rsid w:val="000063A2"/>
    <w:rsid w:val="0000685B"/>
    <w:rsid w:val="00006AF2"/>
    <w:rsid w:val="00006DE7"/>
    <w:rsid w:val="000074CF"/>
    <w:rsid w:val="00007A6A"/>
    <w:rsid w:val="00007DA9"/>
    <w:rsid w:val="00010D7F"/>
    <w:rsid w:val="0001115C"/>
    <w:rsid w:val="0001175F"/>
    <w:rsid w:val="0001247A"/>
    <w:rsid w:val="000134B9"/>
    <w:rsid w:val="0001364D"/>
    <w:rsid w:val="000136E6"/>
    <w:rsid w:val="00014003"/>
    <w:rsid w:val="000142E0"/>
    <w:rsid w:val="000143F1"/>
    <w:rsid w:val="00014E30"/>
    <w:rsid w:val="00014EE1"/>
    <w:rsid w:val="00014F1F"/>
    <w:rsid w:val="000151EB"/>
    <w:rsid w:val="000153C4"/>
    <w:rsid w:val="0001659F"/>
    <w:rsid w:val="0001747B"/>
    <w:rsid w:val="00017BC6"/>
    <w:rsid w:val="00017CCE"/>
    <w:rsid w:val="00017E65"/>
    <w:rsid w:val="00020B9F"/>
    <w:rsid w:val="00020FF8"/>
    <w:rsid w:val="00021846"/>
    <w:rsid w:val="000219A8"/>
    <w:rsid w:val="00023110"/>
    <w:rsid w:val="000238BB"/>
    <w:rsid w:val="00024428"/>
    <w:rsid w:val="00024851"/>
    <w:rsid w:val="00025235"/>
    <w:rsid w:val="0002527C"/>
    <w:rsid w:val="00026460"/>
    <w:rsid w:val="00026DFF"/>
    <w:rsid w:val="00026E18"/>
    <w:rsid w:val="00027313"/>
    <w:rsid w:val="00027E4F"/>
    <w:rsid w:val="0003009F"/>
    <w:rsid w:val="00030519"/>
    <w:rsid w:val="0003075B"/>
    <w:rsid w:val="0003085B"/>
    <w:rsid w:val="000309F7"/>
    <w:rsid w:val="00030F3B"/>
    <w:rsid w:val="00031B74"/>
    <w:rsid w:val="0003250D"/>
    <w:rsid w:val="00032684"/>
    <w:rsid w:val="00032885"/>
    <w:rsid w:val="00033FD3"/>
    <w:rsid w:val="00034096"/>
    <w:rsid w:val="000343F2"/>
    <w:rsid w:val="000345B2"/>
    <w:rsid w:val="000348CD"/>
    <w:rsid w:val="000357CA"/>
    <w:rsid w:val="00035B8A"/>
    <w:rsid w:val="00035C57"/>
    <w:rsid w:val="00035DD4"/>
    <w:rsid w:val="00035EB9"/>
    <w:rsid w:val="00036816"/>
    <w:rsid w:val="00036CB8"/>
    <w:rsid w:val="00037A21"/>
    <w:rsid w:val="00037F9E"/>
    <w:rsid w:val="00037FD8"/>
    <w:rsid w:val="00040F85"/>
    <w:rsid w:val="000416B3"/>
    <w:rsid w:val="00041718"/>
    <w:rsid w:val="00041874"/>
    <w:rsid w:val="00041DEC"/>
    <w:rsid w:val="00041F55"/>
    <w:rsid w:val="00042DA8"/>
    <w:rsid w:val="00043228"/>
    <w:rsid w:val="00043330"/>
    <w:rsid w:val="00043C33"/>
    <w:rsid w:val="000442FB"/>
    <w:rsid w:val="00045619"/>
    <w:rsid w:val="00045A92"/>
    <w:rsid w:val="00045E14"/>
    <w:rsid w:val="00046071"/>
    <w:rsid w:val="000461B4"/>
    <w:rsid w:val="00046717"/>
    <w:rsid w:val="00046DB8"/>
    <w:rsid w:val="00047F5A"/>
    <w:rsid w:val="000516AD"/>
    <w:rsid w:val="000517A9"/>
    <w:rsid w:val="0005189D"/>
    <w:rsid w:val="00051F95"/>
    <w:rsid w:val="000523AA"/>
    <w:rsid w:val="000527EE"/>
    <w:rsid w:val="000531EE"/>
    <w:rsid w:val="0005337A"/>
    <w:rsid w:val="0005387F"/>
    <w:rsid w:val="0005609F"/>
    <w:rsid w:val="000571BF"/>
    <w:rsid w:val="00057224"/>
    <w:rsid w:val="0005738F"/>
    <w:rsid w:val="00057D47"/>
    <w:rsid w:val="0006001E"/>
    <w:rsid w:val="00060B35"/>
    <w:rsid w:val="00061186"/>
    <w:rsid w:val="0006168D"/>
    <w:rsid w:val="00062440"/>
    <w:rsid w:val="000625BB"/>
    <w:rsid w:val="0006285F"/>
    <w:rsid w:val="00062874"/>
    <w:rsid w:val="000644FB"/>
    <w:rsid w:val="00064FB5"/>
    <w:rsid w:val="00065E20"/>
    <w:rsid w:val="00067806"/>
    <w:rsid w:val="00067A59"/>
    <w:rsid w:val="0007029E"/>
    <w:rsid w:val="00071053"/>
    <w:rsid w:val="000726CB"/>
    <w:rsid w:val="000727CB"/>
    <w:rsid w:val="00073DE1"/>
    <w:rsid w:val="000747CF"/>
    <w:rsid w:val="00075A14"/>
    <w:rsid w:val="00076638"/>
    <w:rsid w:val="0007669A"/>
    <w:rsid w:val="0007705D"/>
    <w:rsid w:val="000776FF"/>
    <w:rsid w:val="00080405"/>
    <w:rsid w:val="00080AB2"/>
    <w:rsid w:val="00080E6C"/>
    <w:rsid w:val="00082024"/>
    <w:rsid w:val="000825FD"/>
    <w:rsid w:val="0008397C"/>
    <w:rsid w:val="00083D66"/>
    <w:rsid w:val="00084369"/>
    <w:rsid w:val="00084471"/>
    <w:rsid w:val="00084C5A"/>
    <w:rsid w:val="00084F7A"/>
    <w:rsid w:val="00085C6F"/>
    <w:rsid w:val="00086FCB"/>
    <w:rsid w:val="000917E0"/>
    <w:rsid w:val="00091BB3"/>
    <w:rsid w:val="000925FD"/>
    <w:rsid w:val="0009277D"/>
    <w:rsid w:val="00092C4A"/>
    <w:rsid w:val="00093253"/>
    <w:rsid w:val="00093ABB"/>
    <w:rsid w:val="00093B4E"/>
    <w:rsid w:val="00093EEC"/>
    <w:rsid w:val="00093EF7"/>
    <w:rsid w:val="000951CF"/>
    <w:rsid w:val="0009574C"/>
    <w:rsid w:val="00095EB9"/>
    <w:rsid w:val="00096342"/>
    <w:rsid w:val="00096755"/>
    <w:rsid w:val="000967A9"/>
    <w:rsid w:val="0009E37B"/>
    <w:rsid w:val="000A01FF"/>
    <w:rsid w:val="000A0280"/>
    <w:rsid w:val="000A0D12"/>
    <w:rsid w:val="000A0D37"/>
    <w:rsid w:val="000A1217"/>
    <w:rsid w:val="000A1288"/>
    <w:rsid w:val="000A1548"/>
    <w:rsid w:val="000A17E2"/>
    <w:rsid w:val="000A260B"/>
    <w:rsid w:val="000A2BA1"/>
    <w:rsid w:val="000A5FB2"/>
    <w:rsid w:val="000A652C"/>
    <w:rsid w:val="000A6DAC"/>
    <w:rsid w:val="000A7C10"/>
    <w:rsid w:val="000B0660"/>
    <w:rsid w:val="000B14B1"/>
    <w:rsid w:val="000B14F2"/>
    <w:rsid w:val="000B1E58"/>
    <w:rsid w:val="000B25D8"/>
    <w:rsid w:val="000B268D"/>
    <w:rsid w:val="000B39E6"/>
    <w:rsid w:val="000B43FC"/>
    <w:rsid w:val="000B54BD"/>
    <w:rsid w:val="000B5531"/>
    <w:rsid w:val="000B5D63"/>
    <w:rsid w:val="000B636F"/>
    <w:rsid w:val="000B7315"/>
    <w:rsid w:val="000C0053"/>
    <w:rsid w:val="000C1B24"/>
    <w:rsid w:val="000C2BA7"/>
    <w:rsid w:val="000C2CB6"/>
    <w:rsid w:val="000C30D3"/>
    <w:rsid w:val="000C3936"/>
    <w:rsid w:val="000C624F"/>
    <w:rsid w:val="000C6355"/>
    <w:rsid w:val="000D0271"/>
    <w:rsid w:val="000D2B74"/>
    <w:rsid w:val="000D2BFC"/>
    <w:rsid w:val="000D2F66"/>
    <w:rsid w:val="000D35A6"/>
    <w:rsid w:val="000D4751"/>
    <w:rsid w:val="000D4B2A"/>
    <w:rsid w:val="000D5DF9"/>
    <w:rsid w:val="000D683A"/>
    <w:rsid w:val="000D6A7F"/>
    <w:rsid w:val="000D6EA6"/>
    <w:rsid w:val="000D7451"/>
    <w:rsid w:val="000D7B90"/>
    <w:rsid w:val="000D7D6B"/>
    <w:rsid w:val="000D7F8B"/>
    <w:rsid w:val="000E0AEE"/>
    <w:rsid w:val="000E0DC0"/>
    <w:rsid w:val="000E16A8"/>
    <w:rsid w:val="000E2B07"/>
    <w:rsid w:val="000E3561"/>
    <w:rsid w:val="000E374B"/>
    <w:rsid w:val="000E37D0"/>
    <w:rsid w:val="000E3996"/>
    <w:rsid w:val="000E4381"/>
    <w:rsid w:val="000E5742"/>
    <w:rsid w:val="000E745E"/>
    <w:rsid w:val="000E777B"/>
    <w:rsid w:val="000E7BC2"/>
    <w:rsid w:val="000F0692"/>
    <w:rsid w:val="000F120C"/>
    <w:rsid w:val="000F1980"/>
    <w:rsid w:val="000F19BE"/>
    <w:rsid w:val="000F21D6"/>
    <w:rsid w:val="000F2491"/>
    <w:rsid w:val="000F261E"/>
    <w:rsid w:val="000F3BFA"/>
    <w:rsid w:val="000F4207"/>
    <w:rsid w:val="000F44DE"/>
    <w:rsid w:val="000F4CF1"/>
    <w:rsid w:val="000F58D4"/>
    <w:rsid w:val="000F642A"/>
    <w:rsid w:val="000F647F"/>
    <w:rsid w:val="000F6724"/>
    <w:rsid w:val="000F7915"/>
    <w:rsid w:val="0010211A"/>
    <w:rsid w:val="001028C9"/>
    <w:rsid w:val="001030C3"/>
    <w:rsid w:val="0010353B"/>
    <w:rsid w:val="00105D5C"/>
    <w:rsid w:val="0010617E"/>
    <w:rsid w:val="00107316"/>
    <w:rsid w:val="00107361"/>
    <w:rsid w:val="00107441"/>
    <w:rsid w:val="00107BC7"/>
    <w:rsid w:val="00112136"/>
    <w:rsid w:val="00112CA9"/>
    <w:rsid w:val="001130BA"/>
    <w:rsid w:val="001136F8"/>
    <w:rsid w:val="00114E2A"/>
    <w:rsid w:val="00116214"/>
    <w:rsid w:val="00116C78"/>
    <w:rsid w:val="001172C5"/>
    <w:rsid w:val="001178C7"/>
    <w:rsid w:val="0012021A"/>
    <w:rsid w:val="00121B62"/>
    <w:rsid w:val="00122FC1"/>
    <w:rsid w:val="00123F5D"/>
    <w:rsid w:val="00123F68"/>
    <w:rsid w:val="001240B4"/>
    <w:rsid w:val="00124490"/>
    <w:rsid w:val="00124655"/>
    <w:rsid w:val="00124E2F"/>
    <w:rsid w:val="00125796"/>
    <w:rsid w:val="00126795"/>
    <w:rsid w:val="00126D53"/>
    <w:rsid w:val="00126EDD"/>
    <w:rsid w:val="001271BD"/>
    <w:rsid w:val="001272F8"/>
    <w:rsid w:val="001301B6"/>
    <w:rsid w:val="001310CD"/>
    <w:rsid w:val="00132695"/>
    <w:rsid w:val="001329D1"/>
    <w:rsid w:val="00132F4F"/>
    <w:rsid w:val="0013308A"/>
    <w:rsid w:val="0013500D"/>
    <w:rsid w:val="00135B94"/>
    <w:rsid w:val="00135CAC"/>
    <w:rsid w:val="00135D3F"/>
    <w:rsid w:val="00135F0B"/>
    <w:rsid w:val="00136372"/>
    <w:rsid w:val="0013647A"/>
    <w:rsid w:val="00136E0D"/>
    <w:rsid w:val="00136E38"/>
    <w:rsid w:val="001373EF"/>
    <w:rsid w:val="0014284B"/>
    <w:rsid w:val="00143F10"/>
    <w:rsid w:val="001456DE"/>
    <w:rsid w:val="00145951"/>
    <w:rsid w:val="00146ABC"/>
    <w:rsid w:val="00146B63"/>
    <w:rsid w:val="00146E26"/>
    <w:rsid w:val="00150173"/>
    <w:rsid w:val="001509C0"/>
    <w:rsid w:val="0015100C"/>
    <w:rsid w:val="00151BE4"/>
    <w:rsid w:val="00151DD7"/>
    <w:rsid w:val="0015208E"/>
    <w:rsid w:val="001522A0"/>
    <w:rsid w:val="001524F9"/>
    <w:rsid w:val="00152825"/>
    <w:rsid w:val="00152C24"/>
    <w:rsid w:val="0015423F"/>
    <w:rsid w:val="00154E90"/>
    <w:rsid w:val="0015549B"/>
    <w:rsid w:val="00156014"/>
    <w:rsid w:val="00156204"/>
    <w:rsid w:val="001610A7"/>
    <w:rsid w:val="00161601"/>
    <w:rsid w:val="001618CF"/>
    <w:rsid w:val="001622FC"/>
    <w:rsid w:val="00163004"/>
    <w:rsid w:val="0016310A"/>
    <w:rsid w:val="001631D8"/>
    <w:rsid w:val="001637E6"/>
    <w:rsid w:val="001653B0"/>
    <w:rsid w:val="00165959"/>
    <w:rsid w:val="0016609C"/>
    <w:rsid w:val="0016620F"/>
    <w:rsid w:val="0016627E"/>
    <w:rsid w:val="001662CF"/>
    <w:rsid w:val="001664C4"/>
    <w:rsid w:val="0016715F"/>
    <w:rsid w:val="001673BB"/>
    <w:rsid w:val="00167F96"/>
    <w:rsid w:val="001705E5"/>
    <w:rsid w:val="00170ACB"/>
    <w:rsid w:val="00170EA7"/>
    <w:rsid w:val="00171C1C"/>
    <w:rsid w:val="001742AE"/>
    <w:rsid w:val="00174772"/>
    <w:rsid w:val="0017487C"/>
    <w:rsid w:val="00174C73"/>
    <w:rsid w:val="00174FF4"/>
    <w:rsid w:val="00175217"/>
    <w:rsid w:val="00175508"/>
    <w:rsid w:val="0017562A"/>
    <w:rsid w:val="00175683"/>
    <w:rsid w:val="001759A5"/>
    <w:rsid w:val="001769D5"/>
    <w:rsid w:val="00176D2E"/>
    <w:rsid w:val="00176F10"/>
    <w:rsid w:val="00176F46"/>
    <w:rsid w:val="00180BBC"/>
    <w:rsid w:val="00180E85"/>
    <w:rsid w:val="00181954"/>
    <w:rsid w:val="00183730"/>
    <w:rsid w:val="00183DB5"/>
    <w:rsid w:val="001855A7"/>
    <w:rsid w:val="0018576E"/>
    <w:rsid w:val="001868B4"/>
    <w:rsid w:val="00186F73"/>
    <w:rsid w:val="00187A67"/>
    <w:rsid w:val="00190246"/>
    <w:rsid w:val="001902A4"/>
    <w:rsid w:val="00190DC8"/>
    <w:rsid w:val="0019126F"/>
    <w:rsid w:val="00191890"/>
    <w:rsid w:val="001929F1"/>
    <w:rsid w:val="00192D5B"/>
    <w:rsid w:val="00192EC9"/>
    <w:rsid w:val="00192F2C"/>
    <w:rsid w:val="001937FE"/>
    <w:rsid w:val="00193AF8"/>
    <w:rsid w:val="00193DD1"/>
    <w:rsid w:val="0019561E"/>
    <w:rsid w:val="001965D9"/>
    <w:rsid w:val="001967D2"/>
    <w:rsid w:val="00197402"/>
    <w:rsid w:val="00197AC3"/>
    <w:rsid w:val="00197D23"/>
    <w:rsid w:val="001A14E6"/>
    <w:rsid w:val="001A15BF"/>
    <w:rsid w:val="001A382A"/>
    <w:rsid w:val="001A42EE"/>
    <w:rsid w:val="001A45FC"/>
    <w:rsid w:val="001A4B96"/>
    <w:rsid w:val="001A4ECC"/>
    <w:rsid w:val="001A7121"/>
    <w:rsid w:val="001A7563"/>
    <w:rsid w:val="001A75EB"/>
    <w:rsid w:val="001A7A8C"/>
    <w:rsid w:val="001B00B9"/>
    <w:rsid w:val="001B07E1"/>
    <w:rsid w:val="001B1407"/>
    <w:rsid w:val="001B166F"/>
    <w:rsid w:val="001B1697"/>
    <w:rsid w:val="001B31FB"/>
    <w:rsid w:val="001B3349"/>
    <w:rsid w:val="001B38E3"/>
    <w:rsid w:val="001B445C"/>
    <w:rsid w:val="001B493F"/>
    <w:rsid w:val="001B57AB"/>
    <w:rsid w:val="001B5B03"/>
    <w:rsid w:val="001B6496"/>
    <w:rsid w:val="001B65D4"/>
    <w:rsid w:val="001B6DB1"/>
    <w:rsid w:val="001B7E55"/>
    <w:rsid w:val="001C12AF"/>
    <w:rsid w:val="001C1DCF"/>
    <w:rsid w:val="001C25A3"/>
    <w:rsid w:val="001C26EB"/>
    <w:rsid w:val="001C2753"/>
    <w:rsid w:val="001C2A8D"/>
    <w:rsid w:val="001C3403"/>
    <w:rsid w:val="001C3A31"/>
    <w:rsid w:val="001C3FC1"/>
    <w:rsid w:val="001C44BD"/>
    <w:rsid w:val="001C4E7B"/>
    <w:rsid w:val="001C612F"/>
    <w:rsid w:val="001C6917"/>
    <w:rsid w:val="001C71F9"/>
    <w:rsid w:val="001C7C36"/>
    <w:rsid w:val="001C7CAE"/>
    <w:rsid w:val="001C7E35"/>
    <w:rsid w:val="001C7F10"/>
    <w:rsid w:val="001D0024"/>
    <w:rsid w:val="001D0DCB"/>
    <w:rsid w:val="001D140F"/>
    <w:rsid w:val="001D197B"/>
    <w:rsid w:val="001D1B0D"/>
    <w:rsid w:val="001D1BA1"/>
    <w:rsid w:val="001D1E10"/>
    <w:rsid w:val="001D24A3"/>
    <w:rsid w:val="001D3EB0"/>
    <w:rsid w:val="001D44A0"/>
    <w:rsid w:val="001D5E70"/>
    <w:rsid w:val="001D5F23"/>
    <w:rsid w:val="001E066A"/>
    <w:rsid w:val="001E07A4"/>
    <w:rsid w:val="001E1114"/>
    <w:rsid w:val="001E149A"/>
    <w:rsid w:val="001E2797"/>
    <w:rsid w:val="001E291F"/>
    <w:rsid w:val="001E31E6"/>
    <w:rsid w:val="001E3A0E"/>
    <w:rsid w:val="001E3DB6"/>
    <w:rsid w:val="001E46A7"/>
    <w:rsid w:val="001E5252"/>
    <w:rsid w:val="001E535D"/>
    <w:rsid w:val="001E5809"/>
    <w:rsid w:val="001E6210"/>
    <w:rsid w:val="001E6746"/>
    <w:rsid w:val="001E6AE9"/>
    <w:rsid w:val="001E7AF9"/>
    <w:rsid w:val="001F0360"/>
    <w:rsid w:val="001F1F4F"/>
    <w:rsid w:val="001F2934"/>
    <w:rsid w:val="001F2D1C"/>
    <w:rsid w:val="001F34E6"/>
    <w:rsid w:val="001F4049"/>
    <w:rsid w:val="001F4DDE"/>
    <w:rsid w:val="001F5E3E"/>
    <w:rsid w:val="001F7692"/>
    <w:rsid w:val="00200B61"/>
    <w:rsid w:val="00200BB2"/>
    <w:rsid w:val="0020113D"/>
    <w:rsid w:val="002030AF"/>
    <w:rsid w:val="00203BBB"/>
    <w:rsid w:val="0020430E"/>
    <w:rsid w:val="0020451F"/>
    <w:rsid w:val="00205703"/>
    <w:rsid w:val="00206353"/>
    <w:rsid w:val="0020649C"/>
    <w:rsid w:val="0020650F"/>
    <w:rsid w:val="00210406"/>
    <w:rsid w:val="00211443"/>
    <w:rsid w:val="00211F8C"/>
    <w:rsid w:val="00212B98"/>
    <w:rsid w:val="00213907"/>
    <w:rsid w:val="0021441F"/>
    <w:rsid w:val="00214991"/>
    <w:rsid w:val="0021501E"/>
    <w:rsid w:val="0021552E"/>
    <w:rsid w:val="0021573C"/>
    <w:rsid w:val="00220412"/>
    <w:rsid w:val="00220784"/>
    <w:rsid w:val="002213E9"/>
    <w:rsid w:val="00221985"/>
    <w:rsid w:val="00221E87"/>
    <w:rsid w:val="00222195"/>
    <w:rsid w:val="002233A2"/>
    <w:rsid w:val="002237A6"/>
    <w:rsid w:val="00223F24"/>
    <w:rsid w:val="00224A1E"/>
    <w:rsid w:val="00224C7A"/>
    <w:rsid w:val="002254DB"/>
    <w:rsid w:val="00226540"/>
    <w:rsid w:val="00226B48"/>
    <w:rsid w:val="00226BAC"/>
    <w:rsid w:val="00227A71"/>
    <w:rsid w:val="00230C4E"/>
    <w:rsid w:val="00230C55"/>
    <w:rsid w:val="00230DC1"/>
    <w:rsid w:val="00230ED8"/>
    <w:rsid w:val="0023135E"/>
    <w:rsid w:val="00232EAD"/>
    <w:rsid w:val="002331E6"/>
    <w:rsid w:val="00233EDE"/>
    <w:rsid w:val="00234B3A"/>
    <w:rsid w:val="00234D81"/>
    <w:rsid w:val="00235205"/>
    <w:rsid w:val="002359B9"/>
    <w:rsid w:val="00235C76"/>
    <w:rsid w:val="00236452"/>
    <w:rsid w:val="00236AA8"/>
    <w:rsid w:val="00236D85"/>
    <w:rsid w:val="00237C79"/>
    <w:rsid w:val="0024008C"/>
    <w:rsid w:val="00240A1B"/>
    <w:rsid w:val="002411C3"/>
    <w:rsid w:val="00241BE7"/>
    <w:rsid w:val="00242329"/>
    <w:rsid w:val="002424F4"/>
    <w:rsid w:val="002426C4"/>
    <w:rsid w:val="0024310A"/>
    <w:rsid w:val="00243969"/>
    <w:rsid w:val="00243AC0"/>
    <w:rsid w:val="00244013"/>
    <w:rsid w:val="002443E6"/>
    <w:rsid w:val="00245A3C"/>
    <w:rsid w:val="0024625E"/>
    <w:rsid w:val="00246BBC"/>
    <w:rsid w:val="0024744A"/>
    <w:rsid w:val="00247779"/>
    <w:rsid w:val="00247CB9"/>
    <w:rsid w:val="00250A21"/>
    <w:rsid w:val="00250C2D"/>
    <w:rsid w:val="002514F4"/>
    <w:rsid w:val="00251BD0"/>
    <w:rsid w:val="00251F26"/>
    <w:rsid w:val="00252085"/>
    <w:rsid w:val="00252B26"/>
    <w:rsid w:val="0025374D"/>
    <w:rsid w:val="00253FD6"/>
    <w:rsid w:val="00254B70"/>
    <w:rsid w:val="00254C35"/>
    <w:rsid w:val="00254CAB"/>
    <w:rsid w:val="00255039"/>
    <w:rsid w:val="0025646F"/>
    <w:rsid w:val="00256E14"/>
    <w:rsid w:val="00257268"/>
    <w:rsid w:val="00257C0A"/>
    <w:rsid w:val="00257FE9"/>
    <w:rsid w:val="002609DD"/>
    <w:rsid w:val="00260F04"/>
    <w:rsid w:val="0026185D"/>
    <w:rsid w:val="00263B93"/>
    <w:rsid w:val="002646D8"/>
    <w:rsid w:val="00265381"/>
    <w:rsid w:val="002655BD"/>
    <w:rsid w:val="002657C3"/>
    <w:rsid w:val="00266093"/>
    <w:rsid w:val="0026651A"/>
    <w:rsid w:val="0026652C"/>
    <w:rsid w:val="00266848"/>
    <w:rsid w:val="00270140"/>
    <w:rsid w:val="00271037"/>
    <w:rsid w:val="0027184A"/>
    <w:rsid w:val="00271F79"/>
    <w:rsid w:val="00272063"/>
    <w:rsid w:val="00272135"/>
    <w:rsid w:val="00272B48"/>
    <w:rsid w:val="00273E87"/>
    <w:rsid w:val="002748F4"/>
    <w:rsid w:val="00274EEF"/>
    <w:rsid w:val="00274F24"/>
    <w:rsid w:val="00276722"/>
    <w:rsid w:val="00276B30"/>
    <w:rsid w:val="002773D8"/>
    <w:rsid w:val="00277556"/>
    <w:rsid w:val="00280DD0"/>
    <w:rsid w:val="00280E9B"/>
    <w:rsid w:val="00281929"/>
    <w:rsid w:val="00282173"/>
    <w:rsid w:val="002826C3"/>
    <w:rsid w:val="00283DB5"/>
    <w:rsid w:val="00283FEA"/>
    <w:rsid w:val="00285136"/>
    <w:rsid w:val="002852B7"/>
    <w:rsid w:val="00285363"/>
    <w:rsid w:val="0028539E"/>
    <w:rsid w:val="00286389"/>
    <w:rsid w:val="00286B3E"/>
    <w:rsid w:val="00287688"/>
    <w:rsid w:val="00287932"/>
    <w:rsid w:val="00287A25"/>
    <w:rsid w:val="0029035B"/>
    <w:rsid w:val="00290A33"/>
    <w:rsid w:val="002915D8"/>
    <w:rsid w:val="00291E22"/>
    <w:rsid w:val="002923A8"/>
    <w:rsid w:val="00292475"/>
    <w:rsid w:val="00292843"/>
    <w:rsid w:val="00293B4C"/>
    <w:rsid w:val="00293FB0"/>
    <w:rsid w:val="002940AE"/>
    <w:rsid w:val="002946E6"/>
    <w:rsid w:val="00295503"/>
    <w:rsid w:val="00295971"/>
    <w:rsid w:val="00295BE4"/>
    <w:rsid w:val="00295E3D"/>
    <w:rsid w:val="00296422"/>
    <w:rsid w:val="00296C70"/>
    <w:rsid w:val="00296FC7"/>
    <w:rsid w:val="002976C6"/>
    <w:rsid w:val="002A1652"/>
    <w:rsid w:val="002A3446"/>
    <w:rsid w:val="002A4735"/>
    <w:rsid w:val="002A50FC"/>
    <w:rsid w:val="002A60CF"/>
    <w:rsid w:val="002A617C"/>
    <w:rsid w:val="002A67C3"/>
    <w:rsid w:val="002A6D7B"/>
    <w:rsid w:val="002A7A6F"/>
    <w:rsid w:val="002A7AAC"/>
    <w:rsid w:val="002A7BAF"/>
    <w:rsid w:val="002A7CE6"/>
    <w:rsid w:val="002A7E4E"/>
    <w:rsid w:val="002A7F49"/>
    <w:rsid w:val="002B0A23"/>
    <w:rsid w:val="002B1AA7"/>
    <w:rsid w:val="002B1DB4"/>
    <w:rsid w:val="002B2BF8"/>
    <w:rsid w:val="002B30AA"/>
    <w:rsid w:val="002B3AB0"/>
    <w:rsid w:val="002B525F"/>
    <w:rsid w:val="002B5D1A"/>
    <w:rsid w:val="002B5D5B"/>
    <w:rsid w:val="002B5F15"/>
    <w:rsid w:val="002B60C0"/>
    <w:rsid w:val="002B7116"/>
    <w:rsid w:val="002B78F0"/>
    <w:rsid w:val="002B7D2E"/>
    <w:rsid w:val="002B7F6A"/>
    <w:rsid w:val="002C307C"/>
    <w:rsid w:val="002C5D5F"/>
    <w:rsid w:val="002C6BB3"/>
    <w:rsid w:val="002C6DDA"/>
    <w:rsid w:val="002C6E93"/>
    <w:rsid w:val="002D01C9"/>
    <w:rsid w:val="002D037B"/>
    <w:rsid w:val="002D12E7"/>
    <w:rsid w:val="002D17C3"/>
    <w:rsid w:val="002D1C77"/>
    <w:rsid w:val="002D23DA"/>
    <w:rsid w:val="002D2A8D"/>
    <w:rsid w:val="002D31FD"/>
    <w:rsid w:val="002D3570"/>
    <w:rsid w:val="002D50A7"/>
    <w:rsid w:val="002D54F8"/>
    <w:rsid w:val="002D6232"/>
    <w:rsid w:val="002D6FA9"/>
    <w:rsid w:val="002D7142"/>
    <w:rsid w:val="002D74E5"/>
    <w:rsid w:val="002D7F09"/>
    <w:rsid w:val="002E233F"/>
    <w:rsid w:val="002E2445"/>
    <w:rsid w:val="002E2DAE"/>
    <w:rsid w:val="002E39FE"/>
    <w:rsid w:val="002E5476"/>
    <w:rsid w:val="002E5A10"/>
    <w:rsid w:val="002E6314"/>
    <w:rsid w:val="002E7089"/>
    <w:rsid w:val="002E7789"/>
    <w:rsid w:val="002E7E40"/>
    <w:rsid w:val="002F0D03"/>
    <w:rsid w:val="002F141F"/>
    <w:rsid w:val="002F2B7C"/>
    <w:rsid w:val="002F307A"/>
    <w:rsid w:val="002F3652"/>
    <w:rsid w:val="002F378D"/>
    <w:rsid w:val="002F3825"/>
    <w:rsid w:val="002F3CA7"/>
    <w:rsid w:val="002F3FE8"/>
    <w:rsid w:val="002F40B6"/>
    <w:rsid w:val="002F437B"/>
    <w:rsid w:val="002F4533"/>
    <w:rsid w:val="002F4E36"/>
    <w:rsid w:val="002F4EAC"/>
    <w:rsid w:val="002F4F38"/>
    <w:rsid w:val="002F5360"/>
    <w:rsid w:val="002F58B0"/>
    <w:rsid w:val="002F60E5"/>
    <w:rsid w:val="002F6445"/>
    <w:rsid w:val="002F6612"/>
    <w:rsid w:val="00300E20"/>
    <w:rsid w:val="00300EC7"/>
    <w:rsid w:val="00301418"/>
    <w:rsid w:val="003016FC"/>
    <w:rsid w:val="003018DE"/>
    <w:rsid w:val="00301A0F"/>
    <w:rsid w:val="003042B5"/>
    <w:rsid w:val="00304A40"/>
    <w:rsid w:val="00305342"/>
    <w:rsid w:val="00305D3B"/>
    <w:rsid w:val="00305D8B"/>
    <w:rsid w:val="003063D9"/>
    <w:rsid w:val="0030642C"/>
    <w:rsid w:val="003067A8"/>
    <w:rsid w:val="00306A19"/>
    <w:rsid w:val="00307287"/>
    <w:rsid w:val="00310C3A"/>
    <w:rsid w:val="00310DE5"/>
    <w:rsid w:val="00310E53"/>
    <w:rsid w:val="0031188F"/>
    <w:rsid w:val="00311E56"/>
    <w:rsid w:val="0031214E"/>
    <w:rsid w:val="00312296"/>
    <w:rsid w:val="003129D5"/>
    <w:rsid w:val="003138E2"/>
    <w:rsid w:val="00313A37"/>
    <w:rsid w:val="00314C83"/>
    <w:rsid w:val="00316FCE"/>
    <w:rsid w:val="00317E19"/>
    <w:rsid w:val="0032002D"/>
    <w:rsid w:val="0032024C"/>
    <w:rsid w:val="00320565"/>
    <w:rsid w:val="00321298"/>
    <w:rsid w:val="0032281E"/>
    <w:rsid w:val="00322889"/>
    <w:rsid w:val="00322A15"/>
    <w:rsid w:val="0032406C"/>
    <w:rsid w:val="003246A8"/>
    <w:rsid w:val="00324882"/>
    <w:rsid w:val="00324926"/>
    <w:rsid w:val="00324BDB"/>
    <w:rsid w:val="00324D33"/>
    <w:rsid w:val="00325D7F"/>
    <w:rsid w:val="0033053E"/>
    <w:rsid w:val="00331823"/>
    <w:rsid w:val="003319AF"/>
    <w:rsid w:val="0033295F"/>
    <w:rsid w:val="00332DE8"/>
    <w:rsid w:val="00332F6B"/>
    <w:rsid w:val="003332A7"/>
    <w:rsid w:val="003333F9"/>
    <w:rsid w:val="003341A4"/>
    <w:rsid w:val="00334AA9"/>
    <w:rsid w:val="00334AD0"/>
    <w:rsid w:val="00334B5E"/>
    <w:rsid w:val="003350FE"/>
    <w:rsid w:val="00335B2B"/>
    <w:rsid w:val="00336C22"/>
    <w:rsid w:val="003378D5"/>
    <w:rsid w:val="00337E64"/>
    <w:rsid w:val="00340C72"/>
    <w:rsid w:val="00340EAA"/>
    <w:rsid w:val="003413CC"/>
    <w:rsid w:val="00341546"/>
    <w:rsid w:val="00342127"/>
    <w:rsid w:val="00343A2B"/>
    <w:rsid w:val="00344F33"/>
    <w:rsid w:val="00345655"/>
    <w:rsid w:val="0034658F"/>
    <w:rsid w:val="003477F0"/>
    <w:rsid w:val="003479B5"/>
    <w:rsid w:val="00347DB4"/>
    <w:rsid w:val="0035050B"/>
    <w:rsid w:val="0035078F"/>
    <w:rsid w:val="003509DD"/>
    <w:rsid w:val="00350F3A"/>
    <w:rsid w:val="0035317C"/>
    <w:rsid w:val="00353A9F"/>
    <w:rsid w:val="00353B55"/>
    <w:rsid w:val="003544B0"/>
    <w:rsid w:val="00354568"/>
    <w:rsid w:val="0035466F"/>
    <w:rsid w:val="00354FB3"/>
    <w:rsid w:val="00354FEF"/>
    <w:rsid w:val="0035543A"/>
    <w:rsid w:val="00355AA4"/>
    <w:rsid w:val="0035678B"/>
    <w:rsid w:val="00356B97"/>
    <w:rsid w:val="003604AF"/>
    <w:rsid w:val="0036052F"/>
    <w:rsid w:val="003616E8"/>
    <w:rsid w:val="00361921"/>
    <w:rsid w:val="0036379E"/>
    <w:rsid w:val="003641FF"/>
    <w:rsid w:val="00365AE9"/>
    <w:rsid w:val="00370382"/>
    <w:rsid w:val="0037039F"/>
    <w:rsid w:val="003705E5"/>
    <w:rsid w:val="003706D9"/>
    <w:rsid w:val="00370A53"/>
    <w:rsid w:val="00370B55"/>
    <w:rsid w:val="00370DE4"/>
    <w:rsid w:val="003712B0"/>
    <w:rsid w:val="00371EB4"/>
    <w:rsid w:val="00372069"/>
    <w:rsid w:val="003725F2"/>
    <w:rsid w:val="00373032"/>
    <w:rsid w:val="00373125"/>
    <w:rsid w:val="00373BCC"/>
    <w:rsid w:val="00374060"/>
    <w:rsid w:val="003744DD"/>
    <w:rsid w:val="00374F57"/>
    <w:rsid w:val="003757F1"/>
    <w:rsid w:val="00375ABD"/>
    <w:rsid w:val="0037663E"/>
    <w:rsid w:val="00376A3E"/>
    <w:rsid w:val="00376A9A"/>
    <w:rsid w:val="00376D44"/>
    <w:rsid w:val="00376EA9"/>
    <w:rsid w:val="00377310"/>
    <w:rsid w:val="00377315"/>
    <w:rsid w:val="00377796"/>
    <w:rsid w:val="003777AD"/>
    <w:rsid w:val="00377DC8"/>
    <w:rsid w:val="003803DC"/>
    <w:rsid w:val="00380CB9"/>
    <w:rsid w:val="00381145"/>
    <w:rsid w:val="00381E84"/>
    <w:rsid w:val="0038210D"/>
    <w:rsid w:val="003823A8"/>
    <w:rsid w:val="0038253C"/>
    <w:rsid w:val="00382D4E"/>
    <w:rsid w:val="00383220"/>
    <w:rsid w:val="00383899"/>
    <w:rsid w:val="00383A6D"/>
    <w:rsid w:val="00384441"/>
    <w:rsid w:val="003845C5"/>
    <w:rsid w:val="00384AD8"/>
    <w:rsid w:val="00386148"/>
    <w:rsid w:val="003869E2"/>
    <w:rsid w:val="00386E39"/>
    <w:rsid w:val="00386E44"/>
    <w:rsid w:val="00391A3C"/>
    <w:rsid w:val="0039202B"/>
    <w:rsid w:val="00393D2D"/>
    <w:rsid w:val="00394E24"/>
    <w:rsid w:val="00395371"/>
    <w:rsid w:val="00395BC5"/>
    <w:rsid w:val="0039639C"/>
    <w:rsid w:val="00397251"/>
    <w:rsid w:val="00397273"/>
    <w:rsid w:val="00397558"/>
    <w:rsid w:val="0039787D"/>
    <w:rsid w:val="00397B2C"/>
    <w:rsid w:val="00397D11"/>
    <w:rsid w:val="00397DE6"/>
    <w:rsid w:val="003A0093"/>
    <w:rsid w:val="003A00A2"/>
    <w:rsid w:val="003A0335"/>
    <w:rsid w:val="003A0C3E"/>
    <w:rsid w:val="003A1A3E"/>
    <w:rsid w:val="003A1CFB"/>
    <w:rsid w:val="003A1DE4"/>
    <w:rsid w:val="003A307B"/>
    <w:rsid w:val="003A358B"/>
    <w:rsid w:val="003A3E99"/>
    <w:rsid w:val="003A490F"/>
    <w:rsid w:val="003A5E35"/>
    <w:rsid w:val="003A5ED2"/>
    <w:rsid w:val="003A629E"/>
    <w:rsid w:val="003A6787"/>
    <w:rsid w:val="003A67A9"/>
    <w:rsid w:val="003A6BC3"/>
    <w:rsid w:val="003A7277"/>
    <w:rsid w:val="003A73BF"/>
    <w:rsid w:val="003A7492"/>
    <w:rsid w:val="003B0498"/>
    <w:rsid w:val="003B109B"/>
    <w:rsid w:val="003B1218"/>
    <w:rsid w:val="003B1EE3"/>
    <w:rsid w:val="003B2427"/>
    <w:rsid w:val="003B2980"/>
    <w:rsid w:val="003B32F1"/>
    <w:rsid w:val="003B35E4"/>
    <w:rsid w:val="003B3F94"/>
    <w:rsid w:val="003B3FC1"/>
    <w:rsid w:val="003B4C38"/>
    <w:rsid w:val="003B6A44"/>
    <w:rsid w:val="003B7152"/>
    <w:rsid w:val="003B7203"/>
    <w:rsid w:val="003B7B8D"/>
    <w:rsid w:val="003C0AF7"/>
    <w:rsid w:val="003C189E"/>
    <w:rsid w:val="003C1B91"/>
    <w:rsid w:val="003C2C82"/>
    <w:rsid w:val="003C3949"/>
    <w:rsid w:val="003C51AA"/>
    <w:rsid w:val="003C6DED"/>
    <w:rsid w:val="003C73BC"/>
    <w:rsid w:val="003D081C"/>
    <w:rsid w:val="003D1BA9"/>
    <w:rsid w:val="003D243C"/>
    <w:rsid w:val="003D5288"/>
    <w:rsid w:val="003D5CC4"/>
    <w:rsid w:val="003D62D1"/>
    <w:rsid w:val="003D7E23"/>
    <w:rsid w:val="003E0C0D"/>
    <w:rsid w:val="003E1DE9"/>
    <w:rsid w:val="003E285E"/>
    <w:rsid w:val="003E34A0"/>
    <w:rsid w:val="003E373B"/>
    <w:rsid w:val="003E40EC"/>
    <w:rsid w:val="003E47F3"/>
    <w:rsid w:val="003E4BBE"/>
    <w:rsid w:val="003E57A7"/>
    <w:rsid w:val="003E6434"/>
    <w:rsid w:val="003E6617"/>
    <w:rsid w:val="003E6E48"/>
    <w:rsid w:val="003E7CD3"/>
    <w:rsid w:val="003E7E17"/>
    <w:rsid w:val="003F0118"/>
    <w:rsid w:val="003F0AFA"/>
    <w:rsid w:val="003F0DED"/>
    <w:rsid w:val="003F1440"/>
    <w:rsid w:val="003F1641"/>
    <w:rsid w:val="003F17E1"/>
    <w:rsid w:val="003F19D4"/>
    <w:rsid w:val="003F2092"/>
    <w:rsid w:val="003F23AE"/>
    <w:rsid w:val="003F2821"/>
    <w:rsid w:val="003F2A14"/>
    <w:rsid w:val="003F2C5D"/>
    <w:rsid w:val="003F37A0"/>
    <w:rsid w:val="003F41BC"/>
    <w:rsid w:val="003F4459"/>
    <w:rsid w:val="003F4C46"/>
    <w:rsid w:val="003F5A06"/>
    <w:rsid w:val="003F63E3"/>
    <w:rsid w:val="003F683D"/>
    <w:rsid w:val="003F6DA6"/>
    <w:rsid w:val="003F73C6"/>
    <w:rsid w:val="003F7E76"/>
    <w:rsid w:val="004001A1"/>
    <w:rsid w:val="00400288"/>
    <w:rsid w:val="0040073A"/>
    <w:rsid w:val="004014CE"/>
    <w:rsid w:val="0040164D"/>
    <w:rsid w:val="00402280"/>
    <w:rsid w:val="0040237F"/>
    <w:rsid w:val="0040250E"/>
    <w:rsid w:val="00403222"/>
    <w:rsid w:val="00403B4D"/>
    <w:rsid w:val="00403B80"/>
    <w:rsid w:val="00403CBA"/>
    <w:rsid w:val="004050FC"/>
    <w:rsid w:val="00405689"/>
    <w:rsid w:val="00405A5F"/>
    <w:rsid w:val="00405AF9"/>
    <w:rsid w:val="00406414"/>
    <w:rsid w:val="00406B5F"/>
    <w:rsid w:val="004116D9"/>
    <w:rsid w:val="00412176"/>
    <w:rsid w:val="00412388"/>
    <w:rsid w:val="00412419"/>
    <w:rsid w:val="00412EFD"/>
    <w:rsid w:val="00413589"/>
    <w:rsid w:val="004140FD"/>
    <w:rsid w:val="004149C7"/>
    <w:rsid w:val="00414BE3"/>
    <w:rsid w:val="00415D3A"/>
    <w:rsid w:val="00415E98"/>
    <w:rsid w:val="00415ED7"/>
    <w:rsid w:val="004162A6"/>
    <w:rsid w:val="00416317"/>
    <w:rsid w:val="00416376"/>
    <w:rsid w:val="004166A0"/>
    <w:rsid w:val="00416DB7"/>
    <w:rsid w:val="004201B8"/>
    <w:rsid w:val="004204B2"/>
    <w:rsid w:val="0042113D"/>
    <w:rsid w:val="004217E7"/>
    <w:rsid w:val="004227A3"/>
    <w:rsid w:val="00422E2F"/>
    <w:rsid w:val="00423B03"/>
    <w:rsid w:val="00424C93"/>
    <w:rsid w:val="00424F54"/>
    <w:rsid w:val="00425137"/>
    <w:rsid w:val="00425E8E"/>
    <w:rsid w:val="0042628A"/>
    <w:rsid w:val="00426848"/>
    <w:rsid w:val="00426D45"/>
    <w:rsid w:val="00427F12"/>
    <w:rsid w:val="004317A6"/>
    <w:rsid w:val="00431934"/>
    <w:rsid w:val="0043207F"/>
    <w:rsid w:val="00432A2C"/>
    <w:rsid w:val="00432E07"/>
    <w:rsid w:val="00435D5A"/>
    <w:rsid w:val="00435E43"/>
    <w:rsid w:val="00437D49"/>
    <w:rsid w:val="00437F6A"/>
    <w:rsid w:val="004407FA"/>
    <w:rsid w:val="00440E32"/>
    <w:rsid w:val="00441616"/>
    <w:rsid w:val="0044167F"/>
    <w:rsid w:val="00441CF2"/>
    <w:rsid w:val="00443971"/>
    <w:rsid w:val="00443EBD"/>
    <w:rsid w:val="00444806"/>
    <w:rsid w:val="0044498A"/>
    <w:rsid w:val="0044570C"/>
    <w:rsid w:val="00447A6E"/>
    <w:rsid w:val="00450F99"/>
    <w:rsid w:val="00452237"/>
    <w:rsid w:val="00452429"/>
    <w:rsid w:val="0045256B"/>
    <w:rsid w:val="00452681"/>
    <w:rsid w:val="00452B62"/>
    <w:rsid w:val="00452D47"/>
    <w:rsid w:val="00453E20"/>
    <w:rsid w:val="00454698"/>
    <w:rsid w:val="00454717"/>
    <w:rsid w:val="00455133"/>
    <w:rsid w:val="00455FAE"/>
    <w:rsid w:val="0045617D"/>
    <w:rsid w:val="004561C7"/>
    <w:rsid w:val="00456423"/>
    <w:rsid w:val="0045699A"/>
    <w:rsid w:val="00456D56"/>
    <w:rsid w:val="0045780B"/>
    <w:rsid w:val="00461559"/>
    <w:rsid w:val="00461D7B"/>
    <w:rsid w:val="0046201D"/>
    <w:rsid w:val="004627B5"/>
    <w:rsid w:val="0046318C"/>
    <w:rsid w:val="00463B67"/>
    <w:rsid w:val="00463E31"/>
    <w:rsid w:val="00464072"/>
    <w:rsid w:val="004649F3"/>
    <w:rsid w:val="0046537D"/>
    <w:rsid w:val="004656CA"/>
    <w:rsid w:val="00465758"/>
    <w:rsid w:val="00465E2D"/>
    <w:rsid w:val="004660F0"/>
    <w:rsid w:val="00466B00"/>
    <w:rsid w:val="00467C18"/>
    <w:rsid w:val="00467F2F"/>
    <w:rsid w:val="00470107"/>
    <w:rsid w:val="00470506"/>
    <w:rsid w:val="0047068B"/>
    <w:rsid w:val="004715C8"/>
    <w:rsid w:val="0047293C"/>
    <w:rsid w:val="00472CBA"/>
    <w:rsid w:val="00473114"/>
    <w:rsid w:val="004744D5"/>
    <w:rsid w:val="00474868"/>
    <w:rsid w:val="00474DD7"/>
    <w:rsid w:val="00474F0A"/>
    <w:rsid w:val="0047596C"/>
    <w:rsid w:val="004759F7"/>
    <w:rsid w:val="00475E15"/>
    <w:rsid w:val="00475E6A"/>
    <w:rsid w:val="004764D6"/>
    <w:rsid w:val="00476F4F"/>
    <w:rsid w:val="0047705F"/>
    <w:rsid w:val="00477DFA"/>
    <w:rsid w:val="00483D11"/>
    <w:rsid w:val="00484242"/>
    <w:rsid w:val="00484E0D"/>
    <w:rsid w:val="00485EE1"/>
    <w:rsid w:val="0048658D"/>
    <w:rsid w:val="004865CB"/>
    <w:rsid w:val="004904A0"/>
    <w:rsid w:val="00490819"/>
    <w:rsid w:val="0049128E"/>
    <w:rsid w:val="0049149C"/>
    <w:rsid w:val="00491598"/>
    <w:rsid w:val="00492168"/>
    <w:rsid w:val="004937D9"/>
    <w:rsid w:val="00494337"/>
    <w:rsid w:val="00494C28"/>
    <w:rsid w:val="00495DE9"/>
    <w:rsid w:val="00496A8F"/>
    <w:rsid w:val="00496AAF"/>
    <w:rsid w:val="004973DB"/>
    <w:rsid w:val="0049748B"/>
    <w:rsid w:val="00497938"/>
    <w:rsid w:val="0049793A"/>
    <w:rsid w:val="004A0048"/>
    <w:rsid w:val="004A07AA"/>
    <w:rsid w:val="004A13C7"/>
    <w:rsid w:val="004A195A"/>
    <w:rsid w:val="004A1A3A"/>
    <w:rsid w:val="004A22F1"/>
    <w:rsid w:val="004A25F4"/>
    <w:rsid w:val="004A285A"/>
    <w:rsid w:val="004A2CA5"/>
    <w:rsid w:val="004A2F1E"/>
    <w:rsid w:val="004A41EF"/>
    <w:rsid w:val="004A42CB"/>
    <w:rsid w:val="004A44B6"/>
    <w:rsid w:val="004A4EEF"/>
    <w:rsid w:val="004A5EC4"/>
    <w:rsid w:val="004A6169"/>
    <w:rsid w:val="004A65C7"/>
    <w:rsid w:val="004A66C6"/>
    <w:rsid w:val="004A7082"/>
    <w:rsid w:val="004B0582"/>
    <w:rsid w:val="004B0B33"/>
    <w:rsid w:val="004B10CC"/>
    <w:rsid w:val="004B1462"/>
    <w:rsid w:val="004B189C"/>
    <w:rsid w:val="004B2AAB"/>
    <w:rsid w:val="004B302B"/>
    <w:rsid w:val="004B34C6"/>
    <w:rsid w:val="004B3A91"/>
    <w:rsid w:val="004B4625"/>
    <w:rsid w:val="004B4646"/>
    <w:rsid w:val="004B4F87"/>
    <w:rsid w:val="004B512A"/>
    <w:rsid w:val="004B5149"/>
    <w:rsid w:val="004B5851"/>
    <w:rsid w:val="004B7769"/>
    <w:rsid w:val="004B7A42"/>
    <w:rsid w:val="004C0EA8"/>
    <w:rsid w:val="004C1357"/>
    <w:rsid w:val="004C135E"/>
    <w:rsid w:val="004C1498"/>
    <w:rsid w:val="004C21FD"/>
    <w:rsid w:val="004C43C8"/>
    <w:rsid w:val="004C6FA1"/>
    <w:rsid w:val="004C787A"/>
    <w:rsid w:val="004D03DA"/>
    <w:rsid w:val="004D1F8E"/>
    <w:rsid w:val="004D3946"/>
    <w:rsid w:val="004D4435"/>
    <w:rsid w:val="004D4507"/>
    <w:rsid w:val="004D5CD1"/>
    <w:rsid w:val="004D6F0A"/>
    <w:rsid w:val="004D729A"/>
    <w:rsid w:val="004E2787"/>
    <w:rsid w:val="004E2798"/>
    <w:rsid w:val="004E2CC2"/>
    <w:rsid w:val="004E2E84"/>
    <w:rsid w:val="004E436D"/>
    <w:rsid w:val="004E4BBB"/>
    <w:rsid w:val="004E4FD7"/>
    <w:rsid w:val="004E5097"/>
    <w:rsid w:val="004E53C8"/>
    <w:rsid w:val="004E54D8"/>
    <w:rsid w:val="004E575A"/>
    <w:rsid w:val="004E5FF8"/>
    <w:rsid w:val="004E68B8"/>
    <w:rsid w:val="004E7C3D"/>
    <w:rsid w:val="004E7CF8"/>
    <w:rsid w:val="004E7DA5"/>
    <w:rsid w:val="004F0023"/>
    <w:rsid w:val="004F0B54"/>
    <w:rsid w:val="004F29A6"/>
    <w:rsid w:val="004F37D0"/>
    <w:rsid w:val="004F3808"/>
    <w:rsid w:val="004F3C05"/>
    <w:rsid w:val="004F3F9A"/>
    <w:rsid w:val="004F6D46"/>
    <w:rsid w:val="004F742F"/>
    <w:rsid w:val="004F74AE"/>
    <w:rsid w:val="004F7757"/>
    <w:rsid w:val="004F7F57"/>
    <w:rsid w:val="0050042B"/>
    <w:rsid w:val="00500537"/>
    <w:rsid w:val="00502648"/>
    <w:rsid w:val="0050309D"/>
    <w:rsid w:val="00503E00"/>
    <w:rsid w:val="00504206"/>
    <w:rsid w:val="005052F0"/>
    <w:rsid w:val="00505631"/>
    <w:rsid w:val="00505E82"/>
    <w:rsid w:val="0050676E"/>
    <w:rsid w:val="005067A6"/>
    <w:rsid w:val="0050690E"/>
    <w:rsid w:val="00506B79"/>
    <w:rsid w:val="00506EAA"/>
    <w:rsid w:val="00507051"/>
    <w:rsid w:val="00507188"/>
    <w:rsid w:val="0050756F"/>
    <w:rsid w:val="00507604"/>
    <w:rsid w:val="0051258B"/>
    <w:rsid w:val="00512826"/>
    <w:rsid w:val="00512A5F"/>
    <w:rsid w:val="0051314B"/>
    <w:rsid w:val="00513E0A"/>
    <w:rsid w:val="00513F86"/>
    <w:rsid w:val="00514A90"/>
    <w:rsid w:val="00514E8F"/>
    <w:rsid w:val="0051556B"/>
    <w:rsid w:val="00515874"/>
    <w:rsid w:val="00515A06"/>
    <w:rsid w:val="0051661D"/>
    <w:rsid w:val="00516ED1"/>
    <w:rsid w:val="005172CB"/>
    <w:rsid w:val="00517972"/>
    <w:rsid w:val="00520670"/>
    <w:rsid w:val="0052077B"/>
    <w:rsid w:val="00521D4D"/>
    <w:rsid w:val="005222AF"/>
    <w:rsid w:val="00522D25"/>
    <w:rsid w:val="00523E58"/>
    <w:rsid w:val="005241A2"/>
    <w:rsid w:val="005253E0"/>
    <w:rsid w:val="005262DC"/>
    <w:rsid w:val="00527249"/>
    <w:rsid w:val="005305AF"/>
    <w:rsid w:val="00530CF3"/>
    <w:rsid w:val="005312EF"/>
    <w:rsid w:val="005318D3"/>
    <w:rsid w:val="00531C00"/>
    <w:rsid w:val="00531E5D"/>
    <w:rsid w:val="00532638"/>
    <w:rsid w:val="00532CBC"/>
    <w:rsid w:val="005331B5"/>
    <w:rsid w:val="005331DA"/>
    <w:rsid w:val="00533A5F"/>
    <w:rsid w:val="0053441E"/>
    <w:rsid w:val="00534721"/>
    <w:rsid w:val="00534A65"/>
    <w:rsid w:val="00534ABC"/>
    <w:rsid w:val="00535137"/>
    <w:rsid w:val="0053614B"/>
    <w:rsid w:val="00536EB1"/>
    <w:rsid w:val="005372B4"/>
    <w:rsid w:val="00537B36"/>
    <w:rsid w:val="00541DAA"/>
    <w:rsid w:val="00542AD8"/>
    <w:rsid w:val="00542B75"/>
    <w:rsid w:val="00542F5D"/>
    <w:rsid w:val="0054300C"/>
    <w:rsid w:val="0054334C"/>
    <w:rsid w:val="005434ED"/>
    <w:rsid w:val="00543EC7"/>
    <w:rsid w:val="00545531"/>
    <w:rsid w:val="005459FD"/>
    <w:rsid w:val="00545BC5"/>
    <w:rsid w:val="00545E7F"/>
    <w:rsid w:val="00546B43"/>
    <w:rsid w:val="00547032"/>
    <w:rsid w:val="005471F8"/>
    <w:rsid w:val="00550678"/>
    <w:rsid w:val="00550B23"/>
    <w:rsid w:val="00551048"/>
    <w:rsid w:val="00551508"/>
    <w:rsid w:val="00552351"/>
    <w:rsid w:val="005525BE"/>
    <w:rsid w:val="00552689"/>
    <w:rsid w:val="0055278C"/>
    <w:rsid w:val="0055283D"/>
    <w:rsid w:val="0055305A"/>
    <w:rsid w:val="00554299"/>
    <w:rsid w:val="00555355"/>
    <w:rsid w:val="005574D1"/>
    <w:rsid w:val="00560076"/>
    <w:rsid w:val="00560133"/>
    <w:rsid w:val="005603BD"/>
    <w:rsid w:val="00560465"/>
    <w:rsid w:val="00561091"/>
    <w:rsid w:val="005615BD"/>
    <w:rsid w:val="005618D0"/>
    <w:rsid w:val="0056212B"/>
    <w:rsid w:val="00562239"/>
    <w:rsid w:val="005627A6"/>
    <w:rsid w:val="00562DCC"/>
    <w:rsid w:val="00563421"/>
    <w:rsid w:val="00563966"/>
    <w:rsid w:val="00564B9E"/>
    <w:rsid w:val="00564ED8"/>
    <w:rsid w:val="00565190"/>
    <w:rsid w:val="00565C7F"/>
    <w:rsid w:val="005668FC"/>
    <w:rsid w:val="00567AEC"/>
    <w:rsid w:val="0057092D"/>
    <w:rsid w:val="00571528"/>
    <w:rsid w:val="00571655"/>
    <w:rsid w:val="00571E0D"/>
    <w:rsid w:val="0057237D"/>
    <w:rsid w:val="0057244F"/>
    <w:rsid w:val="00572F62"/>
    <w:rsid w:val="005733E4"/>
    <w:rsid w:val="00573655"/>
    <w:rsid w:val="00573658"/>
    <w:rsid w:val="00574958"/>
    <w:rsid w:val="00574A99"/>
    <w:rsid w:val="00575A53"/>
    <w:rsid w:val="00575AA4"/>
    <w:rsid w:val="00575CCC"/>
    <w:rsid w:val="00575EB0"/>
    <w:rsid w:val="005760C2"/>
    <w:rsid w:val="00576B98"/>
    <w:rsid w:val="00577696"/>
    <w:rsid w:val="00577AC6"/>
    <w:rsid w:val="00577D72"/>
    <w:rsid w:val="00580775"/>
    <w:rsid w:val="00580783"/>
    <w:rsid w:val="00580AE2"/>
    <w:rsid w:val="00580CB8"/>
    <w:rsid w:val="00580E52"/>
    <w:rsid w:val="0058146C"/>
    <w:rsid w:val="005819D4"/>
    <w:rsid w:val="00581D09"/>
    <w:rsid w:val="00582F4A"/>
    <w:rsid w:val="005844BC"/>
    <w:rsid w:val="005846D4"/>
    <w:rsid w:val="00584FAA"/>
    <w:rsid w:val="005850A3"/>
    <w:rsid w:val="00585DD9"/>
    <w:rsid w:val="00586193"/>
    <w:rsid w:val="00587442"/>
    <w:rsid w:val="00587A5D"/>
    <w:rsid w:val="00587EB4"/>
    <w:rsid w:val="00590345"/>
    <w:rsid w:val="00590D61"/>
    <w:rsid w:val="00593805"/>
    <w:rsid w:val="00595030"/>
    <w:rsid w:val="005959A9"/>
    <w:rsid w:val="00595A1C"/>
    <w:rsid w:val="00595D53"/>
    <w:rsid w:val="00595DC8"/>
    <w:rsid w:val="00596027"/>
    <w:rsid w:val="005960BC"/>
    <w:rsid w:val="0059684A"/>
    <w:rsid w:val="00596C47"/>
    <w:rsid w:val="00597B6A"/>
    <w:rsid w:val="005A03CC"/>
    <w:rsid w:val="005A0498"/>
    <w:rsid w:val="005A0C41"/>
    <w:rsid w:val="005A17B3"/>
    <w:rsid w:val="005A1CD4"/>
    <w:rsid w:val="005A30D4"/>
    <w:rsid w:val="005A3432"/>
    <w:rsid w:val="005A4493"/>
    <w:rsid w:val="005A46B8"/>
    <w:rsid w:val="005A54BC"/>
    <w:rsid w:val="005A57C8"/>
    <w:rsid w:val="005A58F7"/>
    <w:rsid w:val="005A5962"/>
    <w:rsid w:val="005A6586"/>
    <w:rsid w:val="005A77B5"/>
    <w:rsid w:val="005A7B0D"/>
    <w:rsid w:val="005A7F71"/>
    <w:rsid w:val="005B003F"/>
    <w:rsid w:val="005B0DB3"/>
    <w:rsid w:val="005B0FF5"/>
    <w:rsid w:val="005B136D"/>
    <w:rsid w:val="005B1424"/>
    <w:rsid w:val="005B2516"/>
    <w:rsid w:val="005B44D2"/>
    <w:rsid w:val="005B5766"/>
    <w:rsid w:val="005B590C"/>
    <w:rsid w:val="005B5E8F"/>
    <w:rsid w:val="005B6861"/>
    <w:rsid w:val="005B6D51"/>
    <w:rsid w:val="005B77FC"/>
    <w:rsid w:val="005C07FB"/>
    <w:rsid w:val="005C131E"/>
    <w:rsid w:val="005C226C"/>
    <w:rsid w:val="005C2A7D"/>
    <w:rsid w:val="005C3C79"/>
    <w:rsid w:val="005C3F15"/>
    <w:rsid w:val="005C4F1B"/>
    <w:rsid w:val="005C537F"/>
    <w:rsid w:val="005C547A"/>
    <w:rsid w:val="005C6FF2"/>
    <w:rsid w:val="005C7C31"/>
    <w:rsid w:val="005C7C84"/>
    <w:rsid w:val="005C7C89"/>
    <w:rsid w:val="005D0073"/>
    <w:rsid w:val="005D0CDE"/>
    <w:rsid w:val="005D0EB3"/>
    <w:rsid w:val="005D14DC"/>
    <w:rsid w:val="005D1618"/>
    <w:rsid w:val="005D2A65"/>
    <w:rsid w:val="005D2DA9"/>
    <w:rsid w:val="005D364E"/>
    <w:rsid w:val="005D6177"/>
    <w:rsid w:val="005D6517"/>
    <w:rsid w:val="005D699C"/>
    <w:rsid w:val="005D6D82"/>
    <w:rsid w:val="005D724C"/>
    <w:rsid w:val="005D7B77"/>
    <w:rsid w:val="005E0A28"/>
    <w:rsid w:val="005E1438"/>
    <w:rsid w:val="005E1516"/>
    <w:rsid w:val="005E286C"/>
    <w:rsid w:val="005E2FED"/>
    <w:rsid w:val="005E32D0"/>
    <w:rsid w:val="005E368A"/>
    <w:rsid w:val="005E38F5"/>
    <w:rsid w:val="005E43A7"/>
    <w:rsid w:val="005E43C4"/>
    <w:rsid w:val="005E47C7"/>
    <w:rsid w:val="005E5677"/>
    <w:rsid w:val="005E5855"/>
    <w:rsid w:val="005E7241"/>
    <w:rsid w:val="005F0761"/>
    <w:rsid w:val="005F11F0"/>
    <w:rsid w:val="005F12F8"/>
    <w:rsid w:val="005F180A"/>
    <w:rsid w:val="005F22E3"/>
    <w:rsid w:val="005F247C"/>
    <w:rsid w:val="005F2616"/>
    <w:rsid w:val="005F4386"/>
    <w:rsid w:val="005F566D"/>
    <w:rsid w:val="005F5786"/>
    <w:rsid w:val="005F67AA"/>
    <w:rsid w:val="005F725E"/>
    <w:rsid w:val="005F7283"/>
    <w:rsid w:val="005F7543"/>
    <w:rsid w:val="005F7583"/>
    <w:rsid w:val="005F7B66"/>
    <w:rsid w:val="005F7C0E"/>
    <w:rsid w:val="006012A4"/>
    <w:rsid w:val="00601936"/>
    <w:rsid w:val="0060721E"/>
    <w:rsid w:val="00607566"/>
    <w:rsid w:val="00610001"/>
    <w:rsid w:val="00610989"/>
    <w:rsid w:val="006113CC"/>
    <w:rsid w:val="006124B9"/>
    <w:rsid w:val="00613779"/>
    <w:rsid w:val="00613E0D"/>
    <w:rsid w:val="00614247"/>
    <w:rsid w:val="00614D3B"/>
    <w:rsid w:val="00615553"/>
    <w:rsid w:val="00615A73"/>
    <w:rsid w:val="00616390"/>
    <w:rsid w:val="006163B5"/>
    <w:rsid w:val="006164AA"/>
    <w:rsid w:val="00616C21"/>
    <w:rsid w:val="006172AB"/>
    <w:rsid w:val="006174F4"/>
    <w:rsid w:val="00617DA0"/>
    <w:rsid w:val="00620205"/>
    <w:rsid w:val="00621317"/>
    <w:rsid w:val="0062187C"/>
    <w:rsid w:val="006219DE"/>
    <w:rsid w:val="006220E5"/>
    <w:rsid w:val="0062223E"/>
    <w:rsid w:val="00622BC9"/>
    <w:rsid w:val="00622F2E"/>
    <w:rsid w:val="00623F8E"/>
    <w:rsid w:val="00625295"/>
    <w:rsid w:val="006255E8"/>
    <w:rsid w:val="00625A1D"/>
    <w:rsid w:val="0062655D"/>
    <w:rsid w:val="00626883"/>
    <w:rsid w:val="00626E6E"/>
    <w:rsid w:val="00627B9D"/>
    <w:rsid w:val="00630534"/>
    <w:rsid w:val="00630E12"/>
    <w:rsid w:val="006321FC"/>
    <w:rsid w:val="006324F8"/>
    <w:rsid w:val="00632711"/>
    <w:rsid w:val="00633C41"/>
    <w:rsid w:val="00634B1C"/>
    <w:rsid w:val="00634F6F"/>
    <w:rsid w:val="006351EC"/>
    <w:rsid w:val="00635C9A"/>
    <w:rsid w:val="006364E0"/>
    <w:rsid w:val="00641E74"/>
    <w:rsid w:val="006428FF"/>
    <w:rsid w:val="00642BD0"/>
    <w:rsid w:val="00643E38"/>
    <w:rsid w:val="00645990"/>
    <w:rsid w:val="006459DF"/>
    <w:rsid w:val="00645C54"/>
    <w:rsid w:val="00646114"/>
    <w:rsid w:val="006469DC"/>
    <w:rsid w:val="00647710"/>
    <w:rsid w:val="00647DAF"/>
    <w:rsid w:val="00650A9C"/>
    <w:rsid w:val="00650FB2"/>
    <w:rsid w:val="00652B91"/>
    <w:rsid w:val="00652D5D"/>
    <w:rsid w:val="00652FFC"/>
    <w:rsid w:val="00653756"/>
    <w:rsid w:val="00653D80"/>
    <w:rsid w:val="006558E2"/>
    <w:rsid w:val="0065645D"/>
    <w:rsid w:val="006576A8"/>
    <w:rsid w:val="00657A82"/>
    <w:rsid w:val="00657FA8"/>
    <w:rsid w:val="00660247"/>
    <w:rsid w:val="00661EBC"/>
    <w:rsid w:val="00662C05"/>
    <w:rsid w:val="00662F27"/>
    <w:rsid w:val="00663102"/>
    <w:rsid w:val="00663BF2"/>
    <w:rsid w:val="0066424F"/>
    <w:rsid w:val="00664448"/>
    <w:rsid w:val="00665240"/>
    <w:rsid w:val="006653EA"/>
    <w:rsid w:val="006664E7"/>
    <w:rsid w:val="00667CDA"/>
    <w:rsid w:val="006701A0"/>
    <w:rsid w:val="00670570"/>
    <w:rsid w:val="00670978"/>
    <w:rsid w:val="00672193"/>
    <w:rsid w:val="00672F16"/>
    <w:rsid w:val="00673592"/>
    <w:rsid w:val="00673B0E"/>
    <w:rsid w:val="00674864"/>
    <w:rsid w:val="00674DEF"/>
    <w:rsid w:val="0067560F"/>
    <w:rsid w:val="0067611E"/>
    <w:rsid w:val="00676286"/>
    <w:rsid w:val="006773B7"/>
    <w:rsid w:val="006775A4"/>
    <w:rsid w:val="0068095B"/>
    <w:rsid w:val="006810FF"/>
    <w:rsid w:val="0068119A"/>
    <w:rsid w:val="006818AB"/>
    <w:rsid w:val="00682102"/>
    <w:rsid w:val="0068223F"/>
    <w:rsid w:val="0068309D"/>
    <w:rsid w:val="00683F32"/>
    <w:rsid w:val="006845CF"/>
    <w:rsid w:val="0068751B"/>
    <w:rsid w:val="00687B4D"/>
    <w:rsid w:val="00690175"/>
    <w:rsid w:val="0069133D"/>
    <w:rsid w:val="0069157E"/>
    <w:rsid w:val="00691712"/>
    <w:rsid w:val="00692275"/>
    <w:rsid w:val="00693E9D"/>
    <w:rsid w:val="00694C96"/>
    <w:rsid w:val="00696015"/>
    <w:rsid w:val="0069649C"/>
    <w:rsid w:val="00696B76"/>
    <w:rsid w:val="006978A1"/>
    <w:rsid w:val="006A17D9"/>
    <w:rsid w:val="006A1FBB"/>
    <w:rsid w:val="006A2539"/>
    <w:rsid w:val="006A2590"/>
    <w:rsid w:val="006A2BF7"/>
    <w:rsid w:val="006A2FC0"/>
    <w:rsid w:val="006A37D8"/>
    <w:rsid w:val="006A38EB"/>
    <w:rsid w:val="006A3FA8"/>
    <w:rsid w:val="006A575E"/>
    <w:rsid w:val="006A5CBD"/>
    <w:rsid w:val="006A6545"/>
    <w:rsid w:val="006A6AEB"/>
    <w:rsid w:val="006B0B57"/>
    <w:rsid w:val="006B2032"/>
    <w:rsid w:val="006B2775"/>
    <w:rsid w:val="006B2F09"/>
    <w:rsid w:val="006B43F4"/>
    <w:rsid w:val="006B4AA0"/>
    <w:rsid w:val="006B4D64"/>
    <w:rsid w:val="006B5F9D"/>
    <w:rsid w:val="006B678D"/>
    <w:rsid w:val="006C01A8"/>
    <w:rsid w:val="006C0C30"/>
    <w:rsid w:val="006C12CB"/>
    <w:rsid w:val="006C1657"/>
    <w:rsid w:val="006C2A84"/>
    <w:rsid w:val="006C3525"/>
    <w:rsid w:val="006C3D5A"/>
    <w:rsid w:val="006C3E71"/>
    <w:rsid w:val="006C4C49"/>
    <w:rsid w:val="006C4EDE"/>
    <w:rsid w:val="006C5B74"/>
    <w:rsid w:val="006C5FDC"/>
    <w:rsid w:val="006C775E"/>
    <w:rsid w:val="006C7A80"/>
    <w:rsid w:val="006C7FE7"/>
    <w:rsid w:val="006D12EB"/>
    <w:rsid w:val="006D178F"/>
    <w:rsid w:val="006D1881"/>
    <w:rsid w:val="006D28D5"/>
    <w:rsid w:val="006D2BB9"/>
    <w:rsid w:val="006D37D4"/>
    <w:rsid w:val="006D3DA0"/>
    <w:rsid w:val="006D426A"/>
    <w:rsid w:val="006D5251"/>
    <w:rsid w:val="006D535E"/>
    <w:rsid w:val="006D5541"/>
    <w:rsid w:val="006D56FC"/>
    <w:rsid w:val="006D5A97"/>
    <w:rsid w:val="006D61A7"/>
    <w:rsid w:val="006E02E1"/>
    <w:rsid w:val="006E0669"/>
    <w:rsid w:val="006E0806"/>
    <w:rsid w:val="006E13E5"/>
    <w:rsid w:val="006E19A0"/>
    <w:rsid w:val="006E1C90"/>
    <w:rsid w:val="006E20FF"/>
    <w:rsid w:val="006E2567"/>
    <w:rsid w:val="006E3138"/>
    <w:rsid w:val="006E34D6"/>
    <w:rsid w:val="006E3872"/>
    <w:rsid w:val="006E3B99"/>
    <w:rsid w:val="006E432C"/>
    <w:rsid w:val="006E4888"/>
    <w:rsid w:val="006E4E4A"/>
    <w:rsid w:val="006E6664"/>
    <w:rsid w:val="006E6E0B"/>
    <w:rsid w:val="006E7785"/>
    <w:rsid w:val="006F059A"/>
    <w:rsid w:val="006F1166"/>
    <w:rsid w:val="006F1682"/>
    <w:rsid w:val="006F1B22"/>
    <w:rsid w:val="006F2113"/>
    <w:rsid w:val="006F23B0"/>
    <w:rsid w:val="006F2FB1"/>
    <w:rsid w:val="006F3199"/>
    <w:rsid w:val="006F3F68"/>
    <w:rsid w:val="006F4D92"/>
    <w:rsid w:val="006F4E70"/>
    <w:rsid w:val="006F5ACA"/>
    <w:rsid w:val="006F6FAF"/>
    <w:rsid w:val="006F72BE"/>
    <w:rsid w:val="006F7C20"/>
    <w:rsid w:val="006F7F62"/>
    <w:rsid w:val="007004D0"/>
    <w:rsid w:val="0070145A"/>
    <w:rsid w:val="00702189"/>
    <w:rsid w:val="007024C4"/>
    <w:rsid w:val="007029A6"/>
    <w:rsid w:val="00702ABB"/>
    <w:rsid w:val="007035F7"/>
    <w:rsid w:val="00703826"/>
    <w:rsid w:val="00704CB9"/>
    <w:rsid w:val="00705CCE"/>
    <w:rsid w:val="00705EF0"/>
    <w:rsid w:val="00706EAC"/>
    <w:rsid w:val="00707799"/>
    <w:rsid w:val="00707A71"/>
    <w:rsid w:val="007133BF"/>
    <w:rsid w:val="007138CA"/>
    <w:rsid w:val="00713E68"/>
    <w:rsid w:val="00714070"/>
    <w:rsid w:val="00714850"/>
    <w:rsid w:val="00714A41"/>
    <w:rsid w:val="007151C9"/>
    <w:rsid w:val="00715A54"/>
    <w:rsid w:val="00716A87"/>
    <w:rsid w:val="00717C43"/>
    <w:rsid w:val="007209EE"/>
    <w:rsid w:val="00720DE8"/>
    <w:rsid w:val="007210CC"/>
    <w:rsid w:val="00721682"/>
    <w:rsid w:val="00721C6A"/>
    <w:rsid w:val="00722138"/>
    <w:rsid w:val="0072262C"/>
    <w:rsid w:val="00723D90"/>
    <w:rsid w:val="00723FB5"/>
    <w:rsid w:val="00724CD1"/>
    <w:rsid w:val="00725967"/>
    <w:rsid w:val="0072722C"/>
    <w:rsid w:val="0072747B"/>
    <w:rsid w:val="007274E4"/>
    <w:rsid w:val="00727621"/>
    <w:rsid w:val="00727D0B"/>
    <w:rsid w:val="007301EA"/>
    <w:rsid w:val="00730210"/>
    <w:rsid w:val="00731A3B"/>
    <w:rsid w:val="00731D46"/>
    <w:rsid w:val="007346E4"/>
    <w:rsid w:val="00734B93"/>
    <w:rsid w:val="00735C75"/>
    <w:rsid w:val="0073668D"/>
    <w:rsid w:val="00737077"/>
    <w:rsid w:val="00737358"/>
    <w:rsid w:val="00737A49"/>
    <w:rsid w:val="00737A7B"/>
    <w:rsid w:val="00737FAA"/>
    <w:rsid w:val="00740D94"/>
    <w:rsid w:val="00741196"/>
    <w:rsid w:val="00741625"/>
    <w:rsid w:val="00742D8E"/>
    <w:rsid w:val="007438A0"/>
    <w:rsid w:val="00743F72"/>
    <w:rsid w:val="007445E5"/>
    <w:rsid w:val="007452D3"/>
    <w:rsid w:val="00745AF1"/>
    <w:rsid w:val="00746CEB"/>
    <w:rsid w:val="00747D52"/>
    <w:rsid w:val="00750B2C"/>
    <w:rsid w:val="0075136A"/>
    <w:rsid w:val="007513F4"/>
    <w:rsid w:val="00751A46"/>
    <w:rsid w:val="007521B3"/>
    <w:rsid w:val="0075249E"/>
    <w:rsid w:val="0075277B"/>
    <w:rsid w:val="007532D3"/>
    <w:rsid w:val="007536AA"/>
    <w:rsid w:val="00753ABC"/>
    <w:rsid w:val="00753AEA"/>
    <w:rsid w:val="00753B57"/>
    <w:rsid w:val="00754220"/>
    <w:rsid w:val="0075453A"/>
    <w:rsid w:val="00754D58"/>
    <w:rsid w:val="007551CD"/>
    <w:rsid w:val="007557F6"/>
    <w:rsid w:val="00755EA6"/>
    <w:rsid w:val="00756D83"/>
    <w:rsid w:val="007570FE"/>
    <w:rsid w:val="007574C7"/>
    <w:rsid w:val="007574EE"/>
    <w:rsid w:val="00760139"/>
    <w:rsid w:val="00760701"/>
    <w:rsid w:val="00760A64"/>
    <w:rsid w:val="007610A8"/>
    <w:rsid w:val="0076129F"/>
    <w:rsid w:val="007612FC"/>
    <w:rsid w:val="00761686"/>
    <w:rsid w:val="00761886"/>
    <w:rsid w:val="00762D1A"/>
    <w:rsid w:val="00762D99"/>
    <w:rsid w:val="00763700"/>
    <w:rsid w:val="00763F26"/>
    <w:rsid w:val="0076521A"/>
    <w:rsid w:val="0076590E"/>
    <w:rsid w:val="00765DA2"/>
    <w:rsid w:val="00766104"/>
    <w:rsid w:val="00766A15"/>
    <w:rsid w:val="00766A32"/>
    <w:rsid w:val="007677F6"/>
    <w:rsid w:val="00767D46"/>
    <w:rsid w:val="007718D7"/>
    <w:rsid w:val="0077298C"/>
    <w:rsid w:val="007732BA"/>
    <w:rsid w:val="007741E8"/>
    <w:rsid w:val="00775609"/>
    <w:rsid w:val="00775B9F"/>
    <w:rsid w:val="00776743"/>
    <w:rsid w:val="00776D34"/>
    <w:rsid w:val="007772E9"/>
    <w:rsid w:val="00777A62"/>
    <w:rsid w:val="00777F9F"/>
    <w:rsid w:val="00780B37"/>
    <w:rsid w:val="007813FA"/>
    <w:rsid w:val="00781BDA"/>
    <w:rsid w:val="00782661"/>
    <w:rsid w:val="00782CC9"/>
    <w:rsid w:val="00783241"/>
    <w:rsid w:val="00783425"/>
    <w:rsid w:val="00783C56"/>
    <w:rsid w:val="0078405F"/>
    <w:rsid w:val="00784DBB"/>
    <w:rsid w:val="0078510F"/>
    <w:rsid w:val="00786498"/>
    <w:rsid w:val="00786533"/>
    <w:rsid w:val="0078779F"/>
    <w:rsid w:val="007878E1"/>
    <w:rsid w:val="00790A44"/>
    <w:rsid w:val="00792B6C"/>
    <w:rsid w:val="00792B7D"/>
    <w:rsid w:val="0079366C"/>
    <w:rsid w:val="0079460E"/>
    <w:rsid w:val="00795460"/>
    <w:rsid w:val="00795A22"/>
    <w:rsid w:val="007960D1"/>
    <w:rsid w:val="0079740C"/>
    <w:rsid w:val="0079774A"/>
    <w:rsid w:val="0079798F"/>
    <w:rsid w:val="00797E58"/>
    <w:rsid w:val="007A00FD"/>
    <w:rsid w:val="007A0860"/>
    <w:rsid w:val="007A0B76"/>
    <w:rsid w:val="007A14E5"/>
    <w:rsid w:val="007A22EF"/>
    <w:rsid w:val="007A2370"/>
    <w:rsid w:val="007A23C4"/>
    <w:rsid w:val="007A28B9"/>
    <w:rsid w:val="007A2F4A"/>
    <w:rsid w:val="007A31AF"/>
    <w:rsid w:val="007A3546"/>
    <w:rsid w:val="007A3696"/>
    <w:rsid w:val="007A4153"/>
    <w:rsid w:val="007A4574"/>
    <w:rsid w:val="007A47F2"/>
    <w:rsid w:val="007A496C"/>
    <w:rsid w:val="007A4B06"/>
    <w:rsid w:val="007A4F85"/>
    <w:rsid w:val="007A61C8"/>
    <w:rsid w:val="007A6653"/>
    <w:rsid w:val="007A6A98"/>
    <w:rsid w:val="007A763B"/>
    <w:rsid w:val="007B02CC"/>
    <w:rsid w:val="007B0AA2"/>
    <w:rsid w:val="007B0AEE"/>
    <w:rsid w:val="007B0B43"/>
    <w:rsid w:val="007B1BAE"/>
    <w:rsid w:val="007B22A0"/>
    <w:rsid w:val="007B241F"/>
    <w:rsid w:val="007B2E56"/>
    <w:rsid w:val="007B38C3"/>
    <w:rsid w:val="007B3BCE"/>
    <w:rsid w:val="007B4109"/>
    <w:rsid w:val="007B421D"/>
    <w:rsid w:val="007B5253"/>
    <w:rsid w:val="007B5C25"/>
    <w:rsid w:val="007B5F24"/>
    <w:rsid w:val="007B61E6"/>
    <w:rsid w:val="007B6AEA"/>
    <w:rsid w:val="007B6E98"/>
    <w:rsid w:val="007B76E7"/>
    <w:rsid w:val="007B7AC3"/>
    <w:rsid w:val="007B7E48"/>
    <w:rsid w:val="007C0353"/>
    <w:rsid w:val="007C0A30"/>
    <w:rsid w:val="007C15B8"/>
    <w:rsid w:val="007C1834"/>
    <w:rsid w:val="007C2171"/>
    <w:rsid w:val="007C296E"/>
    <w:rsid w:val="007C303E"/>
    <w:rsid w:val="007C31F9"/>
    <w:rsid w:val="007C3502"/>
    <w:rsid w:val="007C366E"/>
    <w:rsid w:val="007C44EC"/>
    <w:rsid w:val="007C50EF"/>
    <w:rsid w:val="007C53C5"/>
    <w:rsid w:val="007C5672"/>
    <w:rsid w:val="007C6554"/>
    <w:rsid w:val="007D022A"/>
    <w:rsid w:val="007D05EB"/>
    <w:rsid w:val="007D06DE"/>
    <w:rsid w:val="007D0D45"/>
    <w:rsid w:val="007D14C2"/>
    <w:rsid w:val="007D38DE"/>
    <w:rsid w:val="007D429E"/>
    <w:rsid w:val="007D4345"/>
    <w:rsid w:val="007D574E"/>
    <w:rsid w:val="007D6862"/>
    <w:rsid w:val="007D6DFC"/>
    <w:rsid w:val="007D6E90"/>
    <w:rsid w:val="007D74DA"/>
    <w:rsid w:val="007D7AEE"/>
    <w:rsid w:val="007E00FE"/>
    <w:rsid w:val="007E04A1"/>
    <w:rsid w:val="007E066B"/>
    <w:rsid w:val="007E4F82"/>
    <w:rsid w:val="007E5272"/>
    <w:rsid w:val="007E6FC8"/>
    <w:rsid w:val="007E7048"/>
    <w:rsid w:val="007E755C"/>
    <w:rsid w:val="007E7BA2"/>
    <w:rsid w:val="007F0177"/>
    <w:rsid w:val="007F0EAB"/>
    <w:rsid w:val="007F1AA4"/>
    <w:rsid w:val="007F4373"/>
    <w:rsid w:val="007F4F7C"/>
    <w:rsid w:val="007F62B2"/>
    <w:rsid w:val="007F797F"/>
    <w:rsid w:val="007F798D"/>
    <w:rsid w:val="007F7CA7"/>
    <w:rsid w:val="007F7E3A"/>
    <w:rsid w:val="008005FF"/>
    <w:rsid w:val="0080064F"/>
    <w:rsid w:val="008006C5"/>
    <w:rsid w:val="00800C88"/>
    <w:rsid w:val="0080107E"/>
    <w:rsid w:val="00801350"/>
    <w:rsid w:val="008032DC"/>
    <w:rsid w:val="008035DC"/>
    <w:rsid w:val="00803BBF"/>
    <w:rsid w:val="00804F6F"/>
    <w:rsid w:val="008058D9"/>
    <w:rsid w:val="00805EFE"/>
    <w:rsid w:val="008060D2"/>
    <w:rsid w:val="0080617C"/>
    <w:rsid w:val="0080642F"/>
    <w:rsid w:val="00807201"/>
    <w:rsid w:val="008078DB"/>
    <w:rsid w:val="00810463"/>
    <w:rsid w:val="008109FB"/>
    <w:rsid w:val="00811437"/>
    <w:rsid w:val="00811EA3"/>
    <w:rsid w:val="00812A85"/>
    <w:rsid w:val="00812B7C"/>
    <w:rsid w:val="00813CE4"/>
    <w:rsid w:val="00814858"/>
    <w:rsid w:val="00814BBE"/>
    <w:rsid w:val="00814DF2"/>
    <w:rsid w:val="00817D11"/>
    <w:rsid w:val="00820E28"/>
    <w:rsid w:val="00821B05"/>
    <w:rsid w:val="00821D74"/>
    <w:rsid w:val="00822135"/>
    <w:rsid w:val="008222CA"/>
    <w:rsid w:val="00822313"/>
    <w:rsid w:val="008225D9"/>
    <w:rsid w:val="0082311E"/>
    <w:rsid w:val="00823E98"/>
    <w:rsid w:val="008243AD"/>
    <w:rsid w:val="008246D5"/>
    <w:rsid w:val="00824E5F"/>
    <w:rsid w:val="00825743"/>
    <w:rsid w:val="00825DA0"/>
    <w:rsid w:val="0082605B"/>
    <w:rsid w:val="00827D4D"/>
    <w:rsid w:val="008307B4"/>
    <w:rsid w:val="00830BE3"/>
    <w:rsid w:val="0083147E"/>
    <w:rsid w:val="008314FC"/>
    <w:rsid w:val="0083330D"/>
    <w:rsid w:val="00834D94"/>
    <w:rsid w:val="00834F2C"/>
    <w:rsid w:val="0083591A"/>
    <w:rsid w:val="008376E8"/>
    <w:rsid w:val="00837B34"/>
    <w:rsid w:val="00837B52"/>
    <w:rsid w:val="00837C3D"/>
    <w:rsid w:val="008409BE"/>
    <w:rsid w:val="0084159E"/>
    <w:rsid w:val="00842578"/>
    <w:rsid w:val="008425A3"/>
    <w:rsid w:val="00843618"/>
    <w:rsid w:val="0084437D"/>
    <w:rsid w:val="0084489E"/>
    <w:rsid w:val="00844B83"/>
    <w:rsid w:val="00845386"/>
    <w:rsid w:val="00845791"/>
    <w:rsid w:val="00845A02"/>
    <w:rsid w:val="00845A74"/>
    <w:rsid w:val="008461CA"/>
    <w:rsid w:val="00846718"/>
    <w:rsid w:val="00846BC8"/>
    <w:rsid w:val="00846BFF"/>
    <w:rsid w:val="00851AF9"/>
    <w:rsid w:val="00851BCB"/>
    <w:rsid w:val="00852308"/>
    <w:rsid w:val="00852651"/>
    <w:rsid w:val="00852DAA"/>
    <w:rsid w:val="00853113"/>
    <w:rsid w:val="008537F8"/>
    <w:rsid w:val="008541A2"/>
    <w:rsid w:val="00854CD4"/>
    <w:rsid w:val="00854DD8"/>
    <w:rsid w:val="00855119"/>
    <w:rsid w:val="0085532B"/>
    <w:rsid w:val="008556BA"/>
    <w:rsid w:val="00855D27"/>
    <w:rsid w:val="0085606F"/>
    <w:rsid w:val="00856814"/>
    <w:rsid w:val="00856B69"/>
    <w:rsid w:val="0085729A"/>
    <w:rsid w:val="008572EE"/>
    <w:rsid w:val="0085763F"/>
    <w:rsid w:val="00857888"/>
    <w:rsid w:val="00857924"/>
    <w:rsid w:val="00857A02"/>
    <w:rsid w:val="008600FD"/>
    <w:rsid w:val="0086122A"/>
    <w:rsid w:val="00861DBD"/>
    <w:rsid w:val="008632DF"/>
    <w:rsid w:val="00863600"/>
    <w:rsid w:val="00863658"/>
    <w:rsid w:val="00863A39"/>
    <w:rsid w:val="0086416D"/>
    <w:rsid w:val="008646B7"/>
    <w:rsid w:val="008647B3"/>
    <w:rsid w:val="0086494F"/>
    <w:rsid w:val="0086520C"/>
    <w:rsid w:val="008665C9"/>
    <w:rsid w:val="008665E6"/>
    <w:rsid w:val="00866664"/>
    <w:rsid w:val="00867C6C"/>
    <w:rsid w:val="00870786"/>
    <w:rsid w:val="00870E64"/>
    <w:rsid w:val="00870ED4"/>
    <w:rsid w:val="008712A4"/>
    <w:rsid w:val="008713CA"/>
    <w:rsid w:val="008713E4"/>
    <w:rsid w:val="00872C2B"/>
    <w:rsid w:val="008732CD"/>
    <w:rsid w:val="00873ED1"/>
    <w:rsid w:val="0087700D"/>
    <w:rsid w:val="008774CE"/>
    <w:rsid w:val="00877651"/>
    <w:rsid w:val="00877738"/>
    <w:rsid w:val="0088007A"/>
    <w:rsid w:val="008800C7"/>
    <w:rsid w:val="00880A34"/>
    <w:rsid w:val="0088132B"/>
    <w:rsid w:val="00883341"/>
    <w:rsid w:val="008835B6"/>
    <w:rsid w:val="00883B17"/>
    <w:rsid w:val="00883D65"/>
    <w:rsid w:val="0088419F"/>
    <w:rsid w:val="00885C1C"/>
    <w:rsid w:val="00885D7B"/>
    <w:rsid w:val="008868DF"/>
    <w:rsid w:val="00887297"/>
    <w:rsid w:val="00887F55"/>
    <w:rsid w:val="00890F09"/>
    <w:rsid w:val="00891893"/>
    <w:rsid w:val="00891A70"/>
    <w:rsid w:val="00892AEB"/>
    <w:rsid w:val="008950DA"/>
    <w:rsid w:val="00897E41"/>
    <w:rsid w:val="00897F44"/>
    <w:rsid w:val="00897F46"/>
    <w:rsid w:val="008A0453"/>
    <w:rsid w:val="008A1797"/>
    <w:rsid w:val="008A3553"/>
    <w:rsid w:val="008A3C59"/>
    <w:rsid w:val="008A3E13"/>
    <w:rsid w:val="008A450E"/>
    <w:rsid w:val="008A4F56"/>
    <w:rsid w:val="008A52AC"/>
    <w:rsid w:val="008A5833"/>
    <w:rsid w:val="008A5C6D"/>
    <w:rsid w:val="008A5E6E"/>
    <w:rsid w:val="008A6168"/>
    <w:rsid w:val="008A6CFD"/>
    <w:rsid w:val="008A7503"/>
    <w:rsid w:val="008A7572"/>
    <w:rsid w:val="008A7DFC"/>
    <w:rsid w:val="008B10B5"/>
    <w:rsid w:val="008B1971"/>
    <w:rsid w:val="008B1AFE"/>
    <w:rsid w:val="008B26F6"/>
    <w:rsid w:val="008B2CFF"/>
    <w:rsid w:val="008B389F"/>
    <w:rsid w:val="008B3966"/>
    <w:rsid w:val="008B4416"/>
    <w:rsid w:val="008B4959"/>
    <w:rsid w:val="008B49FE"/>
    <w:rsid w:val="008B518E"/>
    <w:rsid w:val="008B57D5"/>
    <w:rsid w:val="008B6A62"/>
    <w:rsid w:val="008B7695"/>
    <w:rsid w:val="008B7FB8"/>
    <w:rsid w:val="008C0EE7"/>
    <w:rsid w:val="008C15F9"/>
    <w:rsid w:val="008C1F74"/>
    <w:rsid w:val="008C20B0"/>
    <w:rsid w:val="008C278E"/>
    <w:rsid w:val="008C3716"/>
    <w:rsid w:val="008C3E67"/>
    <w:rsid w:val="008C4D3E"/>
    <w:rsid w:val="008C4EC2"/>
    <w:rsid w:val="008C4F2A"/>
    <w:rsid w:val="008C56CB"/>
    <w:rsid w:val="008C5AC2"/>
    <w:rsid w:val="008C5C2E"/>
    <w:rsid w:val="008C6DB8"/>
    <w:rsid w:val="008C7449"/>
    <w:rsid w:val="008D0005"/>
    <w:rsid w:val="008D0AD0"/>
    <w:rsid w:val="008D0E87"/>
    <w:rsid w:val="008D0F1C"/>
    <w:rsid w:val="008D0F50"/>
    <w:rsid w:val="008D15BA"/>
    <w:rsid w:val="008D20A6"/>
    <w:rsid w:val="008D343D"/>
    <w:rsid w:val="008D36B6"/>
    <w:rsid w:val="008D456A"/>
    <w:rsid w:val="008D485F"/>
    <w:rsid w:val="008D59A3"/>
    <w:rsid w:val="008D5DEB"/>
    <w:rsid w:val="008D64C2"/>
    <w:rsid w:val="008D6A8D"/>
    <w:rsid w:val="008D72C9"/>
    <w:rsid w:val="008E0330"/>
    <w:rsid w:val="008E06CD"/>
    <w:rsid w:val="008E0ED8"/>
    <w:rsid w:val="008E279B"/>
    <w:rsid w:val="008E2EB4"/>
    <w:rsid w:val="008E34F9"/>
    <w:rsid w:val="008E376E"/>
    <w:rsid w:val="008E3C65"/>
    <w:rsid w:val="008E3EBE"/>
    <w:rsid w:val="008E4C92"/>
    <w:rsid w:val="008E5DB1"/>
    <w:rsid w:val="008E63A0"/>
    <w:rsid w:val="008E74AA"/>
    <w:rsid w:val="008E7E6B"/>
    <w:rsid w:val="008F03A9"/>
    <w:rsid w:val="008F0DEC"/>
    <w:rsid w:val="008F1692"/>
    <w:rsid w:val="008F1748"/>
    <w:rsid w:val="008F1A4C"/>
    <w:rsid w:val="008F1AF5"/>
    <w:rsid w:val="008F35E4"/>
    <w:rsid w:val="008F3689"/>
    <w:rsid w:val="008F43AB"/>
    <w:rsid w:val="008F47E0"/>
    <w:rsid w:val="008F54F0"/>
    <w:rsid w:val="008F5560"/>
    <w:rsid w:val="008F5923"/>
    <w:rsid w:val="008F5BF5"/>
    <w:rsid w:val="008F5C17"/>
    <w:rsid w:val="008F6439"/>
    <w:rsid w:val="008F6B98"/>
    <w:rsid w:val="008F7348"/>
    <w:rsid w:val="0090039C"/>
    <w:rsid w:val="0090183E"/>
    <w:rsid w:val="0090184C"/>
    <w:rsid w:val="00902D6A"/>
    <w:rsid w:val="00902DE2"/>
    <w:rsid w:val="0090312B"/>
    <w:rsid w:val="009036FB"/>
    <w:rsid w:val="009045B4"/>
    <w:rsid w:val="00904F63"/>
    <w:rsid w:val="009067D1"/>
    <w:rsid w:val="0090709F"/>
    <w:rsid w:val="00907F6C"/>
    <w:rsid w:val="009109DA"/>
    <w:rsid w:val="00911F42"/>
    <w:rsid w:val="009127E9"/>
    <w:rsid w:val="00912BB2"/>
    <w:rsid w:val="00912E35"/>
    <w:rsid w:val="00912EC6"/>
    <w:rsid w:val="0091303B"/>
    <w:rsid w:val="0091388B"/>
    <w:rsid w:val="00913BD4"/>
    <w:rsid w:val="00913DAB"/>
    <w:rsid w:val="009157DF"/>
    <w:rsid w:val="00915F64"/>
    <w:rsid w:val="009164C0"/>
    <w:rsid w:val="009203BF"/>
    <w:rsid w:val="00920521"/>
    <w:rsid w:val="00921342"/>
    <w:rsid w:val="009215D4"/>
    <w:rsid w:val="00921610"/>
    <w:rsid w:val="009219DD"/>
    <w:rsid w:val="00921D44"/>
    <w:rsid w:val="00922019"/>
    <w:rsid w:val="00924E88"/>
    <w:rsid w:val="00925805"/>
    <w:rsid w:val="009279C5"/>
    <w:rsid w:val="00927AFA"/>
    <w:rsid w:val="00930228"/>
    <w:rsid w:val="009307A5"/>
    <w:rsid w:val="00930CD3"/>
    <w:rsid w:val="009315AA"/>
    <w:rsid w:val="00931DE9"/>
    <w:rsid w:val="00932657"/>
    <w:rsid w:val="00933D73"/>
    <w:rsid w:val="0093433B"/>
    <w:rsid w:val="0093556C"/>
    <w:rsid w:val="00936784"/>
    <w:rsid w:val="00936794"/>
    <w:rsid w:val="00937BB9"/>
    <w:rsid w:val="00937CD7"/>
    <w:rsid w:val="00940E72"/>
    <w:rsid w:val="00940F34"/>
    <w:rsid w:val="00941005"/>
    <w:rsid w:val="009411F8"/>
    <w:rsid w:val="00941288"/>
    <w:rsid w:val="0094229F"/>
    <w:rsid w:val="009431B3"/>
    <w:rsid w:val="0094339D"/>
    <w:rsid w:val="009449D5"/>
    <w:rsid w:val="00944A20"/>
    <w:rsid w:val="00944BFB"/>
    <w:rsid w:val="0094530C"/>
    <w:rsid w:val="00945AE9"/>
    <w:rsid w:val="00945AF7"/>
    <w:rsid w:val="00945E62"/>
    <w:rsid w:val="00945FED"/>
    <w:rsid w:val="009460F5"/>
    <w:rsid w:val="00946D87"/>
    <w:rsid w:val="0094752B"/>
    <w:rsid w:val="00947CC4"/>
    <w:rsid w:val="00947EEF"/>
    <w:rsid w:val="0095011D"/>
    <w:rsid w:val="009508B7"/>
    <w:rsid w:val="00950BC5"/>
    <w:rsid w:val="00950BF0"/>
    <w:rsid w:val="00951AE4"/>
    <w:rsid w:val="009527C4"/>
    <w:rsid w:val="00952994"/>
    <w:rsid w:val="0095313A"/>
    <w:rsid w:val="00953442"/>
    <w:rsid w:val="00953630"/>
    <w:rsid w:val="009538C6"/>
    <w:rsid w:val="00953D4B"/>
    <w:rsid w:val="009540FC"/>
    <w:rsid w:val="00954641"/>
    <w:rsid w:val="00954B57"/>
    <w:rsid w:val="009563A2"/>
    <w:rsid w:val="009567AC"/>
    <w:rsid w:val="0095731E"/>
    <w:rsid w:val="00957537"/>
    <w:rsid w:val="0095768E"/>
    <w:rsid w:val="00960797"/>
    <w:rsid w:val="00960C8E"/>
    <w:rsid w:val="00960D44"/>
    <w:rsid w:val="00961081"/>
    <w:rsid w:val="009640AC"/>
    <w:rsid w:val="0096460A"/>
    <w:rsid w:val="009649C0"/>
    <w:rsid w:val="00965F90"/>
    <w:rsid w:val="00966A61"/>
    <w:rsid w:val="00967208"/>
    <w:rsid w:val="00967C89"/>
    <w:rsid w:val="00967EE9"/>
    <w:rsid w:val="00972603"/>
    <w:rsid w:val="009729D2"/>
    <w:rsid w:val="009737C6"/>
    <w:rsid w:val="00974E3A"/>
    <w:rsid w:val="009751C3"/>
    <w:rsid w:val="0097542B"/>
    <w:rsid w:val="0097575A"/>
    <w:rsid w:val="0097605E"/>
    <w:rsid w:val="009774AD"/>
    <w:rsid w:val="00980D1C"/>
    <w:rsid w:val="00980EC9"/>
    <w:rsid w:val="009816F3"/>
    <w:rsid w:val="009833B5"/>
    <w:rsid w:val="00983696"/>
    <w:rsid w:val="0098432B"/>
    <w:rsid w:val="00985399"/>
    <w:rsid w:val="0098725D"/>
    <w:rsid w:val="009876B0"/>
    <w:rsid w:val="00987ADB"/>
    <w:rsid w:val="00987DF9"/>
    <w:rsid w:val="009900B3"/>
    <w:rsid w:val="00991088"/>
    <w:rsid w:val="00991ACA"/>
    <w:rsid w:val="00993BFD"/>
    <w:rsid w:val="00993C95"/>
    <w:rsid w:val="009945DC"/>
    <w:rsid w:val="0099496D"/>
    <w:rsid w:val="00994E52"/>
    <w:rsid w:val="00995B62"/>
    <w:rsid w:val="00995D07"/>
    <w:rsid w:val="009967D7"/>
    <w:rsid w:val="00996883"/>
    <w:rsid w:val="00996EB3"/>
    <w:rsid w:val="009A0200"/>
    <w:rsid w:val="009A0A14"/>
    <w:rsid w:val="009A0BD7"/>
    <w:rsid w:val="009A197E"/>
    <w:rsid w:val="009A1C87"/>
    <w:rsid w:val="009A2B76"/>
    <w:rsid w:val="009A2BB6"/>
    <w:rsid w:val="009A3197"/>
    <w:rsid w:val="009A3424"/>
    <w:rsid w:val="009A3F0A"/>
    <w:rsid w:val="009A43B4"/>
    <w:rsid w:val="009A4822"/>
    <w:rsid w:val="009A511C"/>
    <w:rsid w:val="009A58DC"/>
    <w:rsid w:val="009A5EEA"/>
    <w:rsid w:val="009B0D62"/>
    <w:rsid w:val="009B1BF9"/>
    <w:rsid w:val="009B1DEE"/>
    <w:rsid w:val="009B1F3A"/>
    <w:rsid w:val="009B25FD"/>
    <w:rsid w:val="009B3D74"/>
    <w:rsid w:val="009B47A8"/>
    <w:rsid w:val="009B5577"/>
    <w:rsid w:val="009B63E3"/>
    <w:rsid w:val="009B73CA"/>
    <w:rsid w:val="009B7A9B"/>
    <w:rsid w:val="009B7F4A"/>
    <w:rsid w:val="009C06F4"/>
    <w:rsid w:val="009C34FB"/>
    <w:rsid w:val="009C3FF0"/>
    <w:rsid w:val="009C4969"/>
    <w:rsid w:val="009C4C18"/>
    <w:rsid w:val="009C53D5"/>
    <w:rsid w:val="009C5C78"/>
    <w:rsid w:val="009C5F94"/>
    <w:rsid w:val="009C6455"/>
    <w:rsid w:val="009C7471"/>
    <w:rsid w:val="009D0212"/>
    <w:rsid w:val="009D0776"/>
    <w:rsid w:val="009D137D"/>
    <w:rsid w:val="009D1A8A"/>
    <w:rsid w:val="009D2ECC"/>
    <w:rsid w:val="009D3C94"/>
    <w:rsid w:val="009D3DFE"/>
    <w:rsid w:val="009D4419"/>
    <w:rsid w:val="009D5837"/>
    <w:rsid w:val="009D5C6E"/>
    <w:rsid w:val="009D5CE5"/>
    <w:rsid w:val="009D60DB"/>
    <w:rsid w:val="009D63AE"/>
    <w:rsid w:val="009D6688"/>
    <w:rsid w:val="009D6AD3"/>
    <w:rsid w:val="009D6F07"/>
    <w:rsid w:val="009D79A7"/>
    <w:rsid w:val="009E03F9"/>
    <w:rsid w:val="009E050D"/>
    <w:rsid w:val="009E0F96"/>
    <w:rsid w:val="009E10B0"/>
    <w:rsid w:val="009E1966"/>
    <w:rsid w:val="009E2FEC"/>
    <w:rsid w:val="009E3417"/>
    <w:rsid w:val="009E3637"/>
    <w:rsid w:val="009E4050"/>
    <w:rsid w:val="009E4345"/>
    <w:rsid w:val="009E4CF5"/>
    <w:rsid w:val="009E5344"/>
    <w:rsid w:val="009E57BC"/>
    <w:rsid w:val="009E58B7"/>
    <w:rsid w:val="009E7709"/>
    <w:rsid w:val="009F01A8"/>
    <w:rsid w:val="009F16DB"/>
    <w:rsid w:val="009F1BD7"/>
    <w:rsid w:val="009F2523"/>
    <w:rsid w:val="009F28E5"/>
    <w:rsid w:val="009F2E9F"/>
    <w:rsid w:val="009F33DA"/>
    <w:rsid w:val="009F345B"/>
    <w:rsid w:val="009F36A0"/>
    <w:rsid w:val="009F3DA4"/>
    <w:rsid w:val="009F49AA"/>
    <w:rsid w:val="009F4FD5"/>
    <w:rsid w:val="009F528F"/>
    <w:rsid w:val="009F59B2"/>
    <w:rsid w:val="009F6920"/>
    <w:rsid w:val="00A001F4"/>
    <w:rsid w:val="00A0025F"/>
    <w:rsid w:val="00A00ADE"/>
    <w:rsid w:val="00A02515"/>
    <w:rsid w:val="00A026B4"/>
    <w:rsid w:val="00A0357B"/>
    <w:rsid w:val="00A036A5"/>
    <w:rsid w:val="00A036EB"/>
    <w:rsid w:val="00A03D2C"/>
    <w:rsid w:val="00A03F2C"/>
    <w:rsid w:val="00A042D0"/>
    <w:rsid w:val="00A047B5"/>
    <w:rsid w:val="00A0481E"/>
    <w:rsid w:val="00A052A0"/>
    <w:rsid w:val="00A053E8"/>
    <w:rsid w:val="00A05497"/>
    <w:rsid w:val="00A0593C"/>
    <w:rsid w:val="00A05E70"/>
    <w:rsid w:val="00A06AB0"/>
    <w:rsid w:val="00A06FCD"/>
    <w:rsid w:val="00A07709"/>
    <w:rsid w:val="00A113A9"/>
    <w:rsid w:val="00A11471"/>
    <w:rsid w:val="00A11B66"/>
    <w:rsid w:val="00A11DA5"/>
    <w:rsid w:val="00A12223"/>
    <w:rsid w:val="00A13AF6"/>
    <w:rsid w:val="00A142EB"/>
    <w:rsid w:val="00A14802"/>
    <w:rsid w:val="00A1490C"/>
    <w:rsid w:val="00A1548D"/>
    <w:rsid w:val="00A15510"/>
    <w:rsid w:val="00A16187"/>
    <w:rsid w:val="00A16950"/>
    <w:rsid w:val="00A16DDE"/>
    <w:rsid w:val="00A1794C"/>
    <w:rsid w:val="00A1799C"/>
    <w:rsid w:val="00A1799E"/>
    <w:rsid w:val="00A17A12"/>
    <w:rsid w:val="00A17C23"/>
    <w:rsid w:val="00A20AEC"/>
    <w:rsid w:val="00A2114E"/>
    <w:rsid w:val="00A21E6B"/>
    <w:rsid w:val="00A238EA"/>
    <w:rsid w:val="00A248D9"/>
    <w:rsid w:val="00A250A2"/>
    <w:rsid w:val="00A26868"/>
    <w:rsid w:val="00A307AB"/>
    <w:rsid w:val="00A30ABB"/>
    <w:rsid w:val="00A3128A"/>
    <w:rsid w:val="00A316DD"/>
    <w:rsid w:val="00A31A22"/>
    <w:rsid w:val="00A31F22"/>
    <w:rsid w:val="00A330F5"/>
    <w:rsid w:val="00A342F5"/>
    <w:rsid w:val="00A35222"/>
    <w:rsid w:val="00A3627D"/>
    <w:rsid w:val="00A36903"/>
    <w:rsid w:val="00A37074"/>
    <w:rsid w:val="00A40A09"/>
    <w:rsid w:val="00A40BDB"/>
    <w:rsid w:val="00A41145"/>
    <w:rsid w:val="00A417EA"/>
    <w:rsid w:val="00A41951"/>
    <w:rsid w:val="00A41F9D"/>
    <w:rsid w:val="00A42098"/>
    <w:rsid w:val="00A42891"/>
    <w:rsid w:val="00A42C28"/>
    <w:rsid w:val="00A444CD"/>
    <w:rsid w:val="00A44A4B"/>
    <w:rsid w:val="00A45CB4"/>
    <w:rsid w:val="00A46A86"/>
    <w:rsid w:val="00A4713C"/>
    <w:rsid w:val="00A47A06"/>
    <w:rsid w:val="00A47B47"/>
    <w:rsid w:val="00A504F4"/>
    <w:rsid w:val="00A510E5"/>
    <w:rsid w:val="00A512D2"/>
    <w:rsid w:val="00A51F2F"/>
    <w:rsid w:val="00A532EC"/>
    <w:rsid w:val="00A53F0B"/>
    <w:rsid w:val="00A541C7"/>
    <w:rsid w:val="00A546D0"/>
    <w:rsid w:val="00A54996"/>
    <w:rsid w:val="00A54A0E"/>
    <w:rsid w:val="00A54A57"/>
    <w:rsid w:val="00A5561D"/>
    <w:rsid w:val="00A56311"/>
    <w:rsid w:val="00A56A27"/>
    <w:rsid w:val="00A57AB0"/>
    <w:rsid w:val="00A57D45"/>
    <w:rsid w:val="00A57E29"/>
    <w:rsid w:val="00A604C2"/>
    <w:rsid w:val="00A618D9"/>
    <w:rsid w:val="00A61ABE"/>
    <w:rsid w:val="00A62AFE"/>
    <w:rsid w:val="00A62CF7"/>
    <w:rsid w:val="00A632F5"/>
    <w:rsid w:val="00A6377E"/>
    <w:rsid w:val="00A63E4A"/>
    <w:rsid w:val="00A65DA0"/>
    <w:rsid w:val="00A709CE"/>
    <w:rsid w:val="00A70ACF"/>
    <w:rsid w:val="00A71245"/>
    <w:rsid w:val="00A7241E"/>
    <w:rsid w:val="00A724AF"/>
    <w:rsid w:val="00A725AC"/>
    <w:rsid w:val="00A729B7"/>
    <w:rsid w:val="00A7325C"/>
    <w:rsid w:val="00A73289"/>
    <w:rsid w:val="00A73C6A"/>
    <w:rsid w:val="00A73E6B"/>
    <w:rsid w:val="00A74196"/>
    <w:rsid w:val="00A7647B"/>
    <w:rsid w:val="00A76C11"/>
    <w:rsid w:val="00A80168"/>
    <w:rsid w:val="00A80801"/>
    <w:rsid w:val="00A80B5B"/>
    <w:rsid w:val="00A81901"/>
    <w:rsid w:val="00A8218D"/>
    <w:rsid w:val="00A82A4D"/>
    <w:rsid w:val="00A82CEA"/>
    <w:rsid w:val="00A82D9E"/>
    <w:rsid w:val="00A835B7"/>
    <w:rsid w:val="00A836B8"/>
    <w:rsid w:val="00A83986"/>
    <w:rsid w:val="00A844A1"/>
    <w:rsid w:val="00A847EA"/>
    <w:rsid w:val="00A84EE9"/>
    <w:rsid w:val="00A852DB"/>
    <w:rsid w:val="00A85E17"/>
    <w:rsid w:val="00A86A9B"/>
    <w:rsid w:val="00A905BF"/>
    <w:rsid w:val="00A91CB2"/>
    <w:rsid w:val="00A9214D"/>
    <w:rsid w:val="00A93A9F"/>
    <w:rsid w:val="00A944D6"/>
    <w:rsid w:val="00A95F3A"/>
    <w:rsid w:val="00A97422"/>
    <w:rsid w:val="00A9793B"/>
    <w:rsid w:val="00AA0DF0"/>
    <w:rsid w:val="00AA0F59"/>
    <w:rsid w:val="00AA11A3"/>
    <w:rsid w:val="00AA12DB"/>
    <w:rsid w:val="00AA366E"/>
    <w:rsid w:val="00AA3AA6"/>
    <w:rsid w:val="00AA4467"/>
    <w:rsid w:val="00AA4A07"/>
    <w:rsid w:val="00AA4F97"/>
    <w:rsid w:val="00AA59E5"/>
    <w:rsid w:val="00AA6DAB"/>
    <w:rsid w:val="00AA7C49"/>
    <w:rsid w:val="00AB044C"/>
    <w:rsid w:val="00AB14C9"/>
    <w:rsid w:val="00AB3AC0"/>
    <w:rsid w:val="00AB4270"/>
    <w:rsid w:val="00AB4566"/>
    <w:rsid w:val="00AB4B0F"/>
    <w:rsid w:val="00AB7B20"/>
    <w:rsid w:val="00AC1740"/>
    <w:rsid w:val="00AC17D7"/>
    <w:rsid w:val="00AC210F"/>
    <w:rsid w:val="00AC21F6"/>
    <w:rsid w:val="00AC2334"/>
    <w:rsid w:val="00AC3344"/>
    <w:rsid w:val="00AC3E6E"/>
    <w:rsid w:val="00AC40B2"/>
    <w:rsid w:val="00AC4870"/>
    <w:rsid w:val="00AC4889"/>
    <w:rsid w:val="00AC5BFE"/>
    <w:rsid w:val="00AC6091"/>
    <w:rsid w:val="00AC794D"/>
    <w:rsid w:val="00AD00EC"/>
    <w:rsid w:val="00AD0514"/>
    <w:rsid w:val="00AD0519"/>
    <w:rsid w:val="00AD0D45"/>
    <w:rsid w:val="00AD1044"/>
    <w:rsid w:val="00AD21EF"/>
    <w:rsid w:val="00AD23CD"/>
    <w:rsid w:val="00AD279F"/>
    <w:rsid w:val="00AD3C38"/>
    <w:rsid w:val="00AD4564"/>
    <w:rsid w:val="00AD5F17"/>
    <w:rsid w:val="00AD6999"/>
    <w:rsid w:val="00AD7301"/>
    <w:rsid w:val="00AD7539"/>
    <w:rsid w:val="00AD7695"/>
    <w:rsid w:val="00AD76E1"/>
    <w:rsid w:val="00AE0752"/>
    <w:rsid w:val="00AE079B"/>
    <w:rsid w:val="00AE1108"/>
    <w:rsid w:val="00AE16CF"/>
    <w:rsid w:val="00AE1AF8"/>
    <w:rsid w:val="00AE1F56"/>
    <w:rsid w:val="00AE3769"/>
    <w:rsid w:val="00AE38BE"/>
    <w:rsid w:val="00AE3BFF"/>
    <w:rsid w:val="00AE4289"/>
    <w:rsid w:val="00AE48AC"/>
    <w:rsid w:val="00AE5BA0"/>
    <w:rsid w:val="00AE6468"/>
    <w:rsid w:val="00AE6CBD"/>
    <w:rsid w:val="00AE7F21"/>
    <w:rsid w:val="00AF0F56"/>
    <w:rsid w:val="00AF12C0"/>
    <w:rsid w:val="00AF17FE"/>
    <w:rsid w:val="00AF1CC0"/>
    <w:rsid w:val="00AF1F75"/>
    <w:rsid w:val="00AF227E"/>
    <w:rsid w:val="00AF2FD4"/>
    <w:rsid w:val="00AF353D"/>
    <w:rsid w:val="00AF441A"/>
    <w:rsid w:val="00AF5A03"/>
    <w:rsid w:val="00AF5F06"/>
    <w:rsid w:val="00AF7442"/>
    <w:rsid w:val="00AF7BF3"/>
    <w:rsid w:val="00B01A35"/>
    <w:rsid w:val="00B03183"/>
    <w:rsid w:val="00B03967"/>
    <w:rsid w:val="00B03D80"/>
    <w:rsid w:val="00B03F38"/>
    <w:rsid w:val="00B044C7"/>
    <w:rsid w:val="00B04856"/>
    <w:rsid w:val="00B04E16"/>
    <w:rsid w:val="00B052BE"/>
    <w:rsid w:val="00B05D09"/>
    <w:rsid w:val="00B064F0"/>
    <w:rsid w:val="00B06683"/>
    <w:rsid w:val="00B07087"/>
    <w:rsid w:val="00B07BD8"/>
    <w:rsid w:val="00B10572"/>
    <w:rsid w:val="00B10732"/>
    <w:rsid w:val="00B10B34"/>
    <w:rsid w:val="00B124D1"/>
    <w:rsid w:val="00B12E0B"/>
    <w:rsid w:val="00B1307D"/>
    <w:rsid w:val="00B13457"/>
    <w:rsid w:val="00B13BA5"/>
    <w:rsid w:val="00B13D16"/>
    <w:rsid w:val="00B13E27"/>
    <w:rsid w:val="00B142CA"/>
    <w:rsid w:val="00B144FA"/>
    <w:rsid w:val="00B1498B"/>
    <w:rsid w:val="00B14A2C"/>
    <w:rsid w:val="00B14D42"/>
    <w:rsid w:val="00B152BE"/>
    <w:rsid w:val="00B15442"/>
    <w:rsid w:val="00B1600C"/>
    <w:rsid w:val="00B17644"/>
    <w:rsid w:val="00B17792"/>
    <w:rsid w:val="00B1796D"/>
    <w:rsid w:val="00B17A64"/>
    <w:rsid w:val="00B20D44"/>
    <w:rsid w:val="00B211A6"/>
    <w:rsid w:val="00B21BCA"/>
    <w:rsid w:val="00B222FE"/>
    <w:rsid w:val="00B2393C"/>
    <w:rsid w:val="00B23A89"/>
    <w:rsid w:val="00B23AD0"/>
    <w:rsid w:val="00B2556A"/>
    <w:rsid w:val="00B256E5"/>
    <w:rsid w:val="00B26716"/>
    <w:rsid w:val="00B267E7"/>
    <w:rsid w:val="00B26F1E"/>
    <w:rsid w:val="00B27A66"/>
    <w:rsid w:val="00B27FFB"/>
    <w:rsid w:val="00B306FD"/>
    <w:rsid w:val="00B3158B"/>
    <w:rsid w:val="00B316BE"/>
    <w:rsid w:val="00B31B06"/>
    <w:rsid w:val="00B31B28"/>
    <w:rsid w:val="00B321B6"/>
    <w:rsid w:val="00B32436"/>
    <w:rsid w:val="00B32805"/>
    <w:rsid w:val="00B33034"/>
    <w:rsid w:val="00B33115"/>
    <w:rsid w:val="00B339F1"/>
    <w:rsid w:val="00B351C1"/>
    <w:rsid w:val="00B3535D"/>
    <w:rsid w:val="00B358D1"/>
    <w:rsid w:val="00B35CDA"/>
    <w:rsid w:val="00B37BCC"/>
    <w:rsid w:val="00B40167"/>
    <w:rsid w:val="00B407EA"/>
    <w:rsid w:val="00B4111E"/>
    <w:rsid w:val="00B41628"/>
    <w:rsid w:val="00B41E1F"/>
    <w:rsid w:val="00B42323"/>
    <w:rsid w:val="00B427DD"/>
    <w:rsid w:val="00B430EE"/>
    <w:rsid w:val="00B4371C"/>
    <w:rsid w:val="00B44A44"/>
    <w:rsid w:val="00B45812"/>
    <w:rsid w:val="00B45ACE"/>
    <w:rsid w:val="00B45CBD"/>
    <w:rsid w:val="00B47BA7"/>
    <w:rsid w:val="00B50562"/>
    <w:rsid w:val="00B511EC"/>
    <w:rsid w:val="00B51755"/>
    <w:rsid w:val="00B51A9B"/>
    <w:rsid w:val="00B52926"/>
    <w:rsid w:val="00B53B42"/>
    <w:rsid w:val="00B53BA1"/>
    <w:rsid w:val="00B53E63"/>
    <w:rsid w:val="00B544C6"/>
    <w:rsid w:val="00B54554"/>
    <w:rsid w:val="00B564A4"/>
    <w:rsid w:val="00B5651B"/>
    <w:rsid w:val="00B56DE7"/>
    <w:rsid w:val="00B57526"/>
    <w:rsid w:val="00B5775D"/>
    <w:rsid w:val="00B57FDF"/>
    <w:rsid w:val="00B6117D"/>
    <w:rsid w:val="00B6217E"/>
    <w:rsid w:val="00B6241D"/>
    <w:rsid w:val="00B6275E"/>
    <w:rsid w:val="00B6292C"/>
    <w:rsid w:val="00B62CE1"/>
    <w:rsid w:val="00B63A3E"/>
    <w:rsid w:val="00B64240"/>
    <w:rsid w:val="00B6487E"/>
    <w:rsid w:val="00B65893"/>
    <w:rsid w:val="00B67699"/>
    <w:rsid w:val="00B705E7"/>
    <w:rsid w:val="00B70D21"/>
    <w:rsid w:val="00B71003"/>
    <w:rsid w:val="00B7131F"/>
    <w:rsid w:val="00B71E41"/>
    <w:rsid w:val="00B72039"/>
    <w:rsid w:val="00B733A9"/>
    <w:rsid w:val="00B73682"/>
    <w:rsid w:val="00B75854"/>
    <w:rsid w:val="00B75CB7"/>
    <w:rsid w:val="00B7625A"/>
    <w:rsid w:val="00B766A1"/>
    <w:rsid w:val="00B76967"/>
    <w:rsid w:val="00B76A52"/>
    <w:rsid w:val="00B76F53"/>
    <w:rsid w:val="00B77225"/>
    <w:rsid w:val="00B77C49"/>
    <w:rsid w:val="00B80228"/>
    <w:rsid w:val="00B806ED"/>
    <w:rsid w:val="00B80BFB"/>
    <w:rsid w:val="00B82B91"/>
    <w:rsid w:val="00B82BFE"/>
    <w:rsid w:val="00B82E08"/>
    <w:rsid w:val="00B831C3"/>
    <w:rsid w:val="00B834EE"/>
    <w:rsid w:val="00B842D0"/>
    <w:rsid w:val="00B84440"/>
    <w:rsid w:val="00B8445B"/>
    <w:rsid w:val="00B84488"/>
    <w:rsid w:val="00B8468B"/>
    <w:rsid w:val="00B85616"/>
    <w:rsid w:val="00B860E6"/>
    <w:rsid w:val="00B86CBC"/>
    <w:rsid w:val="00B90BE8"/>
    <w:rsid w:val="00B92591"/>
    <w:rsid w:val="00B927E4"/>
    <w:rsid w:val="00B93221"/>
    <w:rsid w:val="00B93595"/>
    <w:rsid w:val="00B94BE6"/>
    <w:rsid w:val="00B9528E"/>
    <w:rsid w:val="00B957D0"/>
    <w:rsid w:val="00B95C19"/>
    <w:rsid w:val="00B96A7F"/>
    <w:rsid w:val="00B9750B"/>
    <w:rsid w:val="00B97745"/>
    <w:rsid w:val="00B97FBE"/>
    <w:rsid w:val="00BA0713"/>
    <w:rsid w:val="00BA07E0"/>
    <w:rsid w:val="00BA0DD8"/>
    <w:rsid w:val="00BA1A7E"/>
    <w:rsid w:val="00BA3ECA"/>
    <w:rsid w:val="00BA4B9E"/>
    <w:rsid w:val="00BA5694"/>
    <w:rsid w:val="00BA585F"/>
    <w:rsid w:val="00BA5902"/>
    <w:rsid w:val="00BA599E"/>
    <w:rsid w:val="00BA73F3"/>
    <w:rsid w:val="00BB039E"/>
    <w:rsid w:val="00BB06D9"/>
    <w:rsid w:val="00BB0E68"/>
    <w:rsid w:val="00BB1373"/>
    <w:rsid w:val="00BB1D43"/>
    <w:rsid w:val="00BB2174"/>
    <w:rsid w:val="00BB2197"/>
    <w:rsid w:val="00BB280C"/>
    <w:rsid w:val="00BB34EA"/>
    <w:rsid w:val="00BB385A"/>
    <w:rsid w:val="00BB4272"/>
    <w:rsid w:val="00BB4803"/>
    <w:rsid w:val="00BB5A45"/>
    <w:rsid w:val="00BB6684"/>
    <w:rsid w:val="00BB68BB"/>
    <w:rsid w:val="00BB780B"/>
    <w:rsid w:val="00BB7AAA"/>
    <w:rsid w:val="00BC14BC"/>
    <w:rsid w:val="00BC1DE6"/>
    <w:rsid w:val="00BC244F"/>
    <w:rsid w:val="00BC28E0"/>
    <w:rsid w:val="00BC292E"/>
    <w:rsid w:val="00BC36FF"/>
    <w:rsid w:val="00BC382A"/>
    <w:rsid w:val="00BC3A18"/>
    <w:rsid w:val="00BC4864"/>
    <w:rsid w:val="00BC488F"/>
    <w:rsid w:val="00BC5417"/>
    <w:rsid w:val="00BC5E9F"/>
    <w:rsid w:val="00BC6428"/>
    <w:rsid w:val="00BC6D99"/>
    <w:rsid w:val="00BC7DAB"/>
    <w:rsid w:val="00BD0812"/>
    <w:rsid w:val="00BD0D9C"/>
    <w:rsid w:val="00BD1184"/>
    <w:rsid w:val="00BD1A2B"/>
    <w:rsid w:val="00BD20CA"/>
    <w:rsid w:val="00BD2206"/>
    <w:rsid w:val="00BD23E2"/>
    <w:rsid w:val="00BD23E3"/>
    <w:rsid w:val="00BD2755"/>
    <w:rsid w:val="00BD29ED"/>
    <w:rsid w:val="00BD2A35"/>
    <w:rsid w:val="00BD2CC4"/>
    <w:rsid w:val="00BD2CF1"/>
    <w:rsid w:val="00BD3788"/>
    <w:rsid w:val="00BD37F7"/>
    <w:rsid w:val="00BD46FB"/>
    <w:rsid w:val="00BD4912"/>
    <w:rsid w:val="00BD50AA"/>
    <w:rsid w:val="00BD58B3"/>
    <w:rsid w:val="00BD593F"/>
    <w:rsid w:val="00BD5E13"/>
    <w:rsid w:val="00BD763E"/>
    <w:rsid w:val="00BD7D68"/>
    <w:rsid w:val="00BE03E0"/>
    <w:rsid w:val="00BE0FB4"/>
    <w:rsid w:val="00BE138A"/>
    <w:rsid w:val="00BE182B"/>
    <w:rsid w:val="00BE1A21"/>
    <w:rsid w:val="00BE2483"/>
    <w:rsid w:val="00BE25E3"/>
    <w:rsid w:val="00BE3F58"/>
    <w:rsid w:val="00BE42ED"/>
    <w:rsid w:val="00BE635E"/>
    <w:rsid w:val="00BE6A01"/>
    <w:rsid w:val="00BF0133"/>
    <w:rsid w:val="00BF0893"/>
    <w:rsid w:val="00BF14AA"/>
    <w:rsid w:val="00BF1E17"/>
    <w:rsid w:val="00BF214D"/>
    <w:rsid w:val="00BF2E1A"/>
    <w:rsid w:val="00BF3442"/>
    <w:rsid w:val="00BF37D6"/>
    <w:rsid w:val="00BF3D08"/>
    <w:rsid w:val="00BF45A3"/>
    <w:rsid w:val="00BF49C2"/>
    <w:rsid w:val="00BF6F8F"/>
    <w:rsid w:val="00BF7016"/>
    <w:rsid w:val="00C00621"/>
    <w:rsid w:val="00C00C97"/>
    <w:rsid w:val="00C02825"/>
    <w:rsid w:val="00C02A58"/>
    <w:rsid w:val="00C02FB2"/>
    <w:rsid w:val="00C04427"/>
    <w:rsid w:val="00C04F59"/>
    <w:rsid w:val="00C0577B"/>
    <w:rsid w:val="00C05957"/>
    <w:rsid w:val="00C05D84"/>
    <w:rsid w:val="00C06110"/>
    <w:rsid w:val="00C0641F"/>
    <w:rsid w:val="00C07B8A"/>
    <w:rsid w:val="00C07B91"/>
    <w:rsid w:val="00C11C95"/>
    <w:rsid w:val="00C11F25"/>
    <w:rsid w:val="00C12868"/>
    <w:rsid w:val="00C12B12"/>
    <w:rsid w:val="00C12BA8"/>
    <w:rsid w:val="00C139BD"/>
    <w:rsid w:val="00C13E67"/>
    <w:rsid w:val="00C13FBC"/>
    <w:rsid w:val="00C14464"/>
    <w:rsid w:val="00C14E96"/>
    <w:rsid w:val="00C1609B"/>
    <w:rsid w:val="00C1648D"/>
    <w:rsid w:val="00C165D4"/>
    <w:rsid w:val="00C16CFD"/>
    <w:rsid w:val="00C17323"/>
    <w:rsid w:val="00C17FF0"/>
    <w:rsid w:val="00C205A6"/>
    <w:rsid w:val="00C2177B"/>
    <w:rsid w:val="00C22D86"/>
    <w:rsid w:val="00C248F6"/>
    <w:rsid w:val="00C25D2E"/>
    <w:rsid w:val="00C2690E"/>
    <w:rsid w:val="00C26A12"/>
    <w:rsid w:val="00C27938"/>
    <w:rsid w:val="00C27AA5"/>
    <w:rsid w:val="00C27AC7"/>
    <w:rsid w:val="00C3063E"/>
    <w:rsid w:val="00C31A05"/>
    <w:rsid w:val="00C31F08"/>
    <w:rsid w:val="00C31F55"/>
    <w:rsid w:val="00C3263D"/>
    <w:rsid w:val="00C334A0"/>
    <w:rsid w:val="00C33FD6"/>
    <w:rsid w:val="00C3421C"/>
    <w:rsid w:val="00C35366"/>
    <w:rsid w:val="00C354A7"/>
    <w:rsid w:val="00C35CF1"/>
    <w:rsid w:val="00C35ED8"/>
    <w:rsid w:val="00C3607D"/>
    <w:rsid w:val="00C37DD3"/>
    <w:rsid w:val="00C41290"/>
    <w:rsid w:val="00C41AC7"/>
    <w:rsid w:val="00C42727"/>
    <w:rsid w:val="00C43108"/>
    <w:rsid w:val="00C433D1"/>
    <w:rsid w:val="00C43BF5"/>
    <w:rsid w:val="00C43C0B"/>
    <w:rsid w:val="00C43FD9"/>
    <w:rsid w:val="00C44150"/>
    <w:rsid w:val="00C449CE"/>
    <w:rsid w:val="00C456A0"/>
    <w:rsid w:val="00C45E8D"/>
    <w:rsid w:val="00C46443"/>
    <w:rsid w:val="00C46574"/>
    <w:rsid w:val="00C46BD5"/>
    <w:rsid w:val="00C4795F"/>
    <w:rsid w:val="00C50169"/>
    <w:rsid w:val="00C510BE"/>
    <w:rsid w:val="00C523D3"/>
    <w:rsid w:val="00C52DD7"/>
    <w:rsid w:val="00C53160"/>
    <w:rsid w:val="00C533FB"/>
    <w:rsid w:val="00C537EA"/>
    <w:rsid w:val="00C539CB"/>
    <w:rsid w:val="00C53D4A"/>
    <w:rsid w:val="00C5542D"/>
    <w:rsid w:val="00C557CC"/>
    <w:rsid w:val="00C5775B"/>
    <w:rsid w:val="00C57AAC"/>
    <w:rsid w:val="00C60317"/>
    <w:rsid w:val="00C6074C"/>
    <w:rsid w:val="00C611F7"/>
    <w:rsid w:val="00C6230C"/>
    <w:rsid w:val="00C629A8"/>
    <w:rsid w:val="00C629C5"/>
    <w:rsid w:val="00C631C6"/>
    <w:rsid w:val="00C649FF"/>
    <w:rsid w:val="00C66768"/>
    <w:rsid w:val="00C66E60"/>
    <w:rsid w:val="00C6732C"/>
    <w:rsid w:val="00C67759"/>
    <w:rsid w:val="00C71380"/>
    <w:rsid w:val="00C71C5B"/>
    <w:rsid w:val="00C72A7F"/>
    <w:rsid w:val="00C7304F"/>
    <w:rsid w:val="00C741CE"/>
    <w:rsid w:val="00C7429F"/>
    <w:rsid w:val="00C75A42"/>
    <w:rsid w:val="00C75EFE"/>
    <w:rsid w:val="00C760C1"/>
    <w:rsid w:val="00C7647A"/>
    <w:rsid w:val="00C76C9E"/>
    <w:rsid w:val="00C803AF"/>
    <w:rsid w:val="00C80A99"/>
    <w:rsid w:val="00C81109"/>
    <w:rsid w:val="00C81364"/>
    <w:rsid w:val="00C8190F"/>
    <w:rsid w:val="00C81AFE"/>
    <w:rsid w:val="00C81FB2"/>
    <w:rsid w:val="00C8234D"/>
    <w:rsid w:val="00C835F0"/>
    <w:rsid w:val="00C849FB"/>
    <w:rsid w:val="00C84C6C"/>
    <w:rsid w:val="00C8619D"/>
    <w:rsid w:val="00C87C83"/>
    <w:rsid w:val="00C87D51"/>
    <w:rsid w:val="00C90166"/>
    <w:rsid w:val="00C9104A"/>
    <w:rsid w:val="00C913BB"/>
    <w:rsid w:val="00C9344B"/>
    <w:rsid w:val="00C943C1"/>
    <w:rsid w:val="00C944A3"/>
    <w:rsid w:val="00C947B5"/>
    <w:rsid w:val="00C9487F"/>
    <w:rsid w:val="00C94AB3"/>
    <w:rsid w:val="00C94CF3"/>
    <w:rsid w:val="00C94D2E"/>
    <w:rsid w:val="00C95249"/>
    <w:rsid w:val="00C95689"/>
    <w:rsid w:val="00C9589C"/>
    <w:rsid w:val="00C9596D"/>
    <w:rsid w:val="00C95FD1"/>
    <w:rsid w:val="00C96A60"/>
    <w:rsid w:val="00C96DFB"/>
    <w:rsid w:val="00C97502"/>
    <w:rsid w:val="00C97756"/>
    <w:rsid w:val="00C97806"/>
    <w:rsid w:val="00CA098C"/>
    <w:rsid w:val="00CA1C25"/>
    <w:rsid w:val="00CA1F50"/>
    <w:rsid w:val="00CA2B9E"/>
    <w:rsid w:val="00CA2DFA"/>
    <w:rsid w:val="00CA38F1"/>
    <w:rsid w:val="00CA3959"/>
    <w:rsid w:val="00CA413C"/>
    <w:rsid w:val="00CA4C59"/>
    <w:rsid w:val="00CA4E8F"/>
    <w:rsid w:val="00CA5463"/>
    <w:rsid w:val="00CA5BC4"/>
    <w:rsid w:val="00CA6B34"/>
    <w:rsid w:val="00CA6E92"/>
    <w:rsid w:val="00CA7846"/>
    <w:rsid w:val="00CB026B"/>
    <w:rsid w:val="00CB0371"/>
    <w:rsid w:val="00CB0A7F"/>
    <w:rsid w:val="00CB1450"/>
    <w:rsid w:val="00CB274D"/>
    <w:rsid w:val="00CB2DBC"/>
    <w:rsid w:val="00CB2E36"/>
    <w:rsid w:val="00CB300B"/>
    <w:rsid w:val="00CB33D5"/>
    <w:rsid w:val="00CB4613"/>
    <w:rsid w:val="00CB4F81"/>
    <w:rsid w:val="00CB6EED"/>
    <w:rsid w:val="00CB74E7"/>
    <w:rsid w:val="00CB7618"/>
    <w:rsid w:val="00CB78BF"/>
    <w:rsid w:val="00CC0027"/>
    <w:rsid w:val="00CC0748"/>
    <w:rsid w:val="00CC07A3"/>
    <w:rsid w:val="00CC0BA7"/>
    <w:rsid w:val="00CC0FA2"/>
    <w:rsid w:val="00CC1621"/>
    <w:rsid w:val="00CC26EB"/>
    <w:rsid w:val="00CC3320"/>
    <w:rsid w:val="00CC3380"/>
    <w:rsid w:val="00CC33D6"/>
    <w:rsid w:val="00CC4AD3"/>
    <w:rsid w:val="00CC4C93"/>
    <w:rsid w:val="00CC4D9C"/>
    <w:rsid w:val="00CC7899"/>
    <w:rsid w:val="00CC7A30"/>
    <w:rsid w:val="00CC7BA2"/>
    <w:rsid w:val="00CD0039"/>
    <w:rsid w:val="00CD064E"/>
    <w:rsid w:val="00CD1445"/>
    <w:rsid w:val="00CD18EC"/>
    <w:rsid w:val="00CD1C87"/>
    <w:rsid w:val="00CD2069"/>
    <w:rsid w:val="00CD2881"/>
    <w:rsid w:val="00CD4446"/>
    <w:rsid w:val="00CD452D"/>
    <w:rsid w:val="00CD45E9"/>
    <w:rsid w:val="00CD4817"/>
    <w:rsid w:val="00CD524F"/>
    <w:rsid w:val="00CD547A"/>
    <w:rsid w:val="00CD5745"/>
    <w:rsid w:val="00CD5985"/>
    <w:rsid w:val="00CD6976"/>
    <w:rsid w:val="00CD6AAF"/>
    <w:rsid w:val="00CE075D"/>
    <w:rsid w:val="00CE1107"/>
    <w:rsid w:val="00CE147D"/>
    <w:rsid w:val="00CE1A0E"/>
    <w:rsid w:val="00CE1C99"/>
    <w:rsid w:val="00CE23BF"/>
    <w:rsid w:val="00CE24F5"/>
    <w:rsid w:val="00CE3276"/>
    <w:rsid w:val="00CE3ED7"/>
    <w:rsid w:val="00CE3F46"/>
    <w:rsid w:val="00CE4311"/>
    <w:rsid w:val="00CE46E4"/>
    <w:rsid w:val="00CE4A0C"/>
    <w:rsid w:val="00CE53A3"/>
    <w:rsid w:val="00CE5665"/>
    <w:rsid w:val="00CE6403"/>
    <w:rsid w:val="00CE6604"/>
    <w:rsid w:val="00CE69BC"/>
    <w:rsid w:val="00CE6A96"/>
    <w:rsid w:val="00CE71FA"/>
    <w:rsid w:val="00CF0074"/>
    <w:rsid w:val="00CF011D"/>
    <w:rsid w:val="00CF09EE"/>
    <w:rsid w:val="00CF1D51"/>
    <w:rsid w:val="00CF25DC"/>
    <w:rsid w:val="00CF3ACD"/>
    <w:rsid w:val="00CF442D"/>
    <w:rsid w:val="00CF466F"/>
    <w:rsid w:val="00CF4751"/>
    <w:rsid w:val="00CF482A"/>
    <w:rsid w:val="00CF4E52"/>
    <w:rsid w:val="00CF5761"/>
    <w:rsid w:val="00CF5A94"/>
    <w:rsid w:val="00CF690C"/>
    <w:rsid w:val="00CF6E5C"/>
    <w:rsid w:val="00CF6F23"/>
    <w:rsid w:val="00CF740A"/>
    <w:rsid w:val="00CF7859"/>
    <w:rsid w:val="00D00AF0"/>
    <w:rsid w:val="00D00E41"/>
    <w:rsid w:val="00D0158E"/>
    <w:rsid w:val="00D01F46"/>
    <w:rsid w:val="00D02681"/>
    <w:rsid w:val="00D02A7D"/>
    <w:rsid w:val="00D02D55"/>
    <w:rsid w:val="00D0303C"/>
    <w:rsid w:val="00D03463"/>
    <w:rsid w:val="00D03973"/>
    <w:rsid w:val="00D0499A"/>
    <w:rsid w:val="00D049BB"/>
    <w:rsid w:val="00D06ABF"/>
    <w:rsid w:val="00D06DC7"/>
    <w:rsid w:val="00D07326"/>
    <w:rsid w:val="00D0732B"/>
    <w:rsid w:val="00D073DF"/>
    <w:rsid w:val="00D0755E"/>
    <w:rsid w:val="00D07614"/>
    <w:rsid w:val="00D07AEA"/>
    <w:rsid w:val="00D1084F"/>
    <w:rsid w:val="00D110DF"/>
    <w:rsid w:val="00D11912"/>
    <w:rsid w:val="00D11CDF"/>
    <w:rsid w:val="00D12491"/>
    <w:rsid w:val="00D1309F"/>
    <w:rsid w:val="00D13120"/>
    <w:rsid w:val="00D13826"/>
    <w:rsid w:val="00D13D4A"/>
    <w:rsid w:val="00D14941"/>
    <w:rsid w:val="00D154EC"/>
    <w:rsid w:val="00D15DFF"/>
    <w:rsid w:val="00D16F6B"/>
    <w:rsid w:val="00D177E2"/>
    <w:rsid w:val="00D21A25"/>
    <w:rsid w:val="00D21D2E"/>
    <w:rsid w:val="00D22E22"/>
    <w:rsid w:val="00D24CFD"/>
    <w:rsid w:val="00D252A9"/>
    <w:rsid w:val="00D2562B"/>
    <w:rsid w:val="00D25678"/>
    <w:rsid w:val="00D25DE7"/>
    <w:rsid w:val="00D26950"/>
    <w:rsid w:val="00D269FD"/>
    <w:rsid w:val="00D26AD9"/>
    <w:rsid w:val="00D300A4"/>
    <w:rsid w:val="00D31E36"/>
    <w:rsid w:val="00D31FF8"/>
    <w:rsid w:val="00D32181"/>
    <w:rsid w:val="00D32613"/>
    <w:rsid w:val="00D3271B"/>
    <w:rsid w:val="00D329F5"/>
    <w:rsid w:val="00D32DC7"/>
    <w:rsid w:val="00D33CCD"/>
    <w:rsid w:val="00D33D8F"/>
    <w:rsid w:val="00D340F3"/>
    <w:rsid w:val="00D352C0"/>
    <w:rsid w:val="00D354F2"/>
    <w:rsid w:val="00D36376"/>
    <w:rsid w:val="00D36542"/>
    <w:rsid w:val="00D36565"/>
    <w:rsid w:val="00D37841"/>
    <w:rsid w:val="00D37B9B"/>
    <w:rsid w:val="00D405AB"/>
    <w:rsid w:val="00D41007"/>
    <w:rsid w:val="00D41FB5"/>
    <w:rsid w:val="00D427CA"/>
    <w:rsid w:val="00D42975"/>
    <w:rsid w:val="00D4300E"/>
    <w:rsid w:val="00D43684"/>
    <w:rsid w:val="00D44058"/>
    <w:rsid w:val="00D460CD"/>
    <w:rsid w:val="00D46677"/>
    <w:rsid w:val="00D46995"/>
    <w:rsid w:val="00D47671"/>
    <w:rsid w:val="00D476C5"/>
    <w:rsid w:val="00D505F4"/>
    <w:rsid w:val="00D513CB"/>
    <w:rsid w:val="00D51E09"/>
    <w:rsid w:val="00D52115"/>
    <w:rsid w:val="00D53470"/>
    <w:rsid w:val="00D53916"/>
    <w:rsid w:val="00D539EA"/>
    <w:rsid w:val="00D54A40"/>
    <w:rsid w:val="00D54D8A"/>
    <w:rsid w:val="00D56442"/>
    <w:rsid w:val="00D565C8"/>
    <w:rsid w:val="00D61542"/>
    <w:rsid w:val="00D620C6"/>
    <w:rsid w:val="00D6507C"/>
    <w:rsid w:val="00D66EBA"/>
    <w:rsid w:val="00D67654"/>
    <w:rsid w:val="00D6789D"/>
    <w:rsid w:val="00D71371"/>
    <w:rsid w:val="00D7221E"/>
    <w:rsid w:val="00D7304F"/>
    <w:rsid w:val="00D742A7"/>
    <w:rsid w:val="00D74C5F"/>
    <w:rsid w:val="00D75526"/>
    <w:rsid w:val="00D7580D"/>
    <w:rsid w:val="00D760AC"/>
    <w:rsid w:val="00D762A8"/>
    <w:rsid w:val="00D76829"/>
    <w:rsid w:val="00D76C59"/>
    <w:rsid w:val="00D76E6F"/>
    <w:rsid w:val="00D77981"/>
    <w:rsid w:val="00D80069"/>
    <w:rsid w:val="00D805AF"/>
    <w:rsid w:val="00D81225"/>
    <w:rsid w:val="00D8123D"/>
    <w:rsid w:val="00D8131B"/>
    <w:rsid w:val="00D8155F"/>
    <w:rsid w:val="00D81D9F"/>
    <w:rsid w:val="00D82A57"/>
    <w:rsid w:val="00D82C70"/>
    <w:rsid w:val="00D82CB2"/>
    <w:rsid w:val="00D83E27"/>
    <w:rsid w:val="00D84BA0"/>
    <w:rsid w:val="00D84D6E"/>
    <w:rsid w:val="00D85039"/>
    <w:rsid w:val="00D864A4"/>
    <w:rsid w:val="00D87A2C"/>
    <w:rsid w:val="00D87FF2"/>
    <w:rsid w:val="00D90AB6"/>
    <w:rsid w:val="00D9133B"/>
    <w:rsid w:val="00D9268E"/>
    <w:rsid w:val="00D92D3E"/>
    <w:rsid w:val="00D94E86"/>
    <w:rsid w:val="00D9544E"/>
    <w:rsid w:val="00D95B5A"/>
    <w:rsid w:val="00D960DE"/>
    <w:rsid w:val="00D96524"/>
    <w:rsid w:val="00D97C21"/>
    <w:rsid w:val="00D97E3E"/>
    <w:rsid w:val="00DA014C"/>
    <w:rsid w:val="00DA05EC"/>
    <w:rsid w:val="00DA076C"/>
    <w:rsid w:val="00DA0E18"/>
    <w:rsid w:val="00DA18BF"/>
    <w:rsid w:val="00DA1A9E"/>
    <w:rsid w:val="00DA2A16"/>
    <w:rsid w:val="00DA2A92"/>
    <w:rsid w:val="00DA2CA2"/>
    <w:rsid w:val="00DA2F27"/>
    <w:rsid w:val="00DA3791"/>
    <w:rsid w:val="00DA3884"/>
    <w:rsid w:val="00DA3E7E"/>
    <w:rsid w:val="00DA4A1E"/>
    <w:rsid w:val="00DA56F4"/>
    <w:rsid w:val="00DA5C73"/>
    <w:rsid w:val="00DA5ECD"/>
    <w:rsid w:val="00DA6517"/>
    <w:rsid w:val="00DA6FE3"/>
    <w:rsid w:val="00DA734C"/>
    <w:rsid w:val="00DA78E6"/>
    <w:rsid w:val="00DB0730"/>
    <w:rsid w:val="00DB0B61"/>
    <w:rsid w:val="00DB0ED3"/>
    <w:rsid w:val="00DB123C"/>
    <w:rsid w:val="00DB1DE4"/>
    <w:rsid w:val="00DB2EC1"/>
    <w:rsid w:val="00DB3624"/>
    <w:rsid w:val="00DB3A46"/>
    <w:rsid w:val="00DB3E23"/>
    <w:rsid w:val="00DB3E34"/>
    <w:rsid w:val="00DB4F74"/>
    <w:rsid w:val="00DB797D"/>
    <w:rsid w:val="00DB7BB4"/>
    <w:rsid w:val="00DC0244"/>
    <w:rsid w:val="00DC02AB"/>
    <w:rsid w:val="00DC06EC"/>
    <w:rsid w:val="00DC0725"/>
    <w:rsid w:val="00DC0CF6"/>
    <w:rsid w:val="00DC1EF7"/>
    <w:rsid w:val="00DC31A7"/>
    <w:rsid w:val="00DC41C2"/>
    <w:rsid w:val="00DC4A32"/>
    <w:rsid w:val="00DC5153"/>
    <w:rsid w:val="00DC65C9"/>
    <w:rsid w:val="00DC6968"/>
    <w:rsid w:val="00DC6A57"/>
    <w:rsid w:val="00DC6B67"/>
    <w:rsid w:val="00DC6BDB"/>
    <w:rsid w:val="00DC6C63"/>
    <w:rsid w:val="00DC7933"/>
    <w:rsid w:val="00DD1FD4"/>
    <w:rsid w:val="00DD30EF"/>
    <w:rsid w:val="00DD45BA"/>
    <w:rsid w:val="00DD5334"/>
    <w:rsid w:val="00DD5E72"/>
    <w:rsid w:val="00DD5FAD"/>
    <w:rsid w:val="00DE0994"/>
    <w:rsid w:val="00DE1B69"/>
    <w:rsid w:val="00DE22D4"/>
    <w:rsid w:val="00DE30F3"/>
    <w:rsid w:val="00DE40C3"/>
    <w:rsid w:val="00DE43DA"/>
    <w:rsid w:val="00DE50AF"/>
    <w:rsid w:val="00DE6703"/>
    <w:rsid w:val="00DE6A19"/>
    <w:rsid w:val="00DE6BAE"/>
    <w:rsid w:val="00DE6CF4"/>
    <w:rsid w:val="00DE73DC"/>
    <w:rsid w:val="00DE766E"/>
    <w:rsid w:val="00DE798F"/>
    <w:rsid w:val="00DF0107"/>
    <w:rsid w:val="00DF1181"/>
    <w:rsid w:val="00DF2008"/>
    <w:rsid w:val="00DF299E"/>
    <w:rsid w:val="00DF3005"/>
    <w:rsid w:val="00DF391D"/>
    <w:rsid w:val="00DF52C3"/>
    <w:rsid w:val="00DF5629"/>
    <w:rsid w:val="00DF691A"/>
    <w:rsid w:val="00DF6BE4"/>
    <w:rsid w:val="00DF79E5"/>
    <w:rsid w:val="00DF7A1A"/>
    <w:rsid w:val="00DF7AA0"/>
    <w:rsid w:val="00E00B34"/>
    <w:rsid w:val="00E01D47"/>
    <w:rsid w:val="00E01DBD"/>
    <w:rsid w:val="00E02329"/>
    <w:rsid w:val="00E02B60"/>
    <w:rsid w:val="00E02BF7"/>
    <w:rsid w:val="00E0308C"/>
    <w:rsid w:val="00E0536E"/>
    <w:rsid w:val="00E057ED"/>
    <w:rsid w:val="00E07185"/>
    <w:rsid w:val="00E07606"/>
    <w:rsid w:val="00E07725"/>
    <w:rsid w:val="00E07A82"/>
    <w:rsid w:val="00E1044A"/>
    <w:rsid w:val="00E1045D"/>
    <w:rsid w:val="00E10A6C"/>
    <w:rsid w:val="00E10C3B"/>
    <w:rsid w:val="00E11979"/>
    <w:rsid w:val="00E13B6E"/>
    <w:rsid w:val="00E14CB2"/>
    <w:rsid w:val="00E155E2"/>
    <w:rsid w:val="00E15B88"/>
    <w:rsid w:val="00E15E6E"/>
    <w:rsid w:val="00E16129"/>
    <w:rsid w:val="00E16434"/>
    <w:rsid w:val="00E16B47"/>
    <w:rsid w:val="00E17365"/>
    <w:rsid w:val="00E17445"/>
    <w:rsid w:val="00E17D5C"/>
    <w:rsid w:val="00E21B34"/>
    <w:rsid w:val="00E21F33"/>
    <w:rsid w:val="00E22EC8"/>
    <w:rsid w:val="00E231A7"/>
    <w:rsid w:val="00E24938"/>
    <w:rsid w:val="00E250C5"/>
    <w:rsid w:val="00E257A7"/>
    <w:rsid w:val="00E2593F"/>
    <w:rsid w:val="00E2607C"/>
    <w:rsid w:val="00E27F52"/>
    <w:rsid w:val="00E304D6"/>
    <w:rsid w:val="00E30A2B"/>
    <w:rsid w:val="00E32D90"/>
    <w:rsid w:val="00E32DC9"/>
    <w:rsid w:val="00E3306C"/>
    <w:rsid w:val="00E33405"/>
    <w:rsid w:val="00E3399E"/>
    <w:rsid w:val="00E34B0B"/>
    <w:rsid w:val="00E35516"/>
    <w:rsid w:val="00E37AD4"/>
    <w:rsid w:val="00E400DD"/>
    <w:rsid w:val="00E40AC7"/>
    <w:rsid w:val="00E40FBD"/>
    <w:rsid w:val="00E4100B"/>
    <w:rsid w:val="00E41DDB"/>
    <w:rsid w:val="00E42516"/>
    <w:rsid w:val="00E4299C"/>
    <w:rsid w:val="00E43C98"/>
    <w:rsid w:val="00E440E8"/>
    <w:rsid w:val="00E44158"/>
    <w:rsid w:val="00E446A2"/>
    <w:rsid w:val="00E45330"/>
    <w:rsid w:val="00E46503"/>
    <w:rsid w:val="00E4655E"/>
    <w:rsid w:val="00E46BA8"/>
    <w:rsid w:val="00E473DE"/>
    <w:rsid w:val="00E501BE"/>
    <w:rsid w:val="00E50D20"/>
    <w:rsid w:val="00E5165E"/>
    <w:rsid w:val="00E5190D"/>
    <w:rsid w:val="00E519F4"/>
    <w:rsid w:val="00E51E32"/>
    <w:rsid w:val="00E529DC"/>
    <w:rsid w:val="00E52A75"/>
    <w:rsid w:val="00E53114"/>
    <w:rsid w:val="00E53EA0"/>
    <w:rsid w:val="00E54520"/>
    <w:rsid w:val="00E55035"/>
    <w:rsid w:val="00E55408"/>
    <w:rsid w:val="00E56157"/>
    <w:rsid w:val="00E5629D"/>
    <w:rsid w:val="00E56FCA"/>
    <w:rsid w:val="00E57A7F"/>
    <w:rsid w:val="00E603E1"/>
    <w:rsid w:val="00E604E4"/>
    <w:rsid w:val="00E60971"/>
    <w:rsid w:val="00E62162"/>
    <w:rsid w:val="00E625BB"/>
    <w:rsid w:val="00E62E13"/>
    <w:rsid w:val="00E66742"/>
    <w:rsid w:val="00E66995"/>
    <w:rsid w:val="00E669E1"/>
    <w:rsid w:val="00E67359"/>
    <w:rsid w:val="00E67514"/>
    <w:rsid w:val="00E67710"/>
    <w:rsid w:val="00E679EE"/>
    <w:rsid w:val="00E67BE6"/>
    <w:rsid w:val="00E71589"/>
    <w:rsid w:val="00E719B3"/>
    <w:rsid w:val="00E721FC"/>
    <w:rsid w:val="00E72B4F"/>
    <w:rsid w:val="00E72E44"/>
    <w:rsid w:val="00E75B58"/>
    <w:rsid w:val="00E761A8"/>
    <w:rsid w:val="00E761EC"/>
    <w:rsid w:val="00E77C35"/>
    <w:rsid w:val="00E80B67"/>
    <w:rsid w:val="00E8158C"/>
    <w:rsid w:val="00E81DA0"/>
    <w:rsid w:val="00E82EE5"/>
    <w:rsid w:val="00E82EF5"/>
    <w:rsid w:val="00E8412B"/>
    <w:rsid w:val="00E843F5"/>
    <w:rsid w:val="00E84BBD"/>
    <w:rsid w:val="00E8518C"/>
    <w:rsid w:val="00E8657E"/>
    <w:rsid w:val="00E87B39"/>
    <w:rsid w:val="00E87B6C"/>
    <w:rsid w:val="00E87F86"/>
    <w:rsid w:val="00E9026D"/>
    <w:rsid w:val="00E90388"/>
    <w:rsid w:val="00E91A2A"/>
    <w:rsid w:val="00E91D3F"/>
    <w:rsid w:val="00E9347D"/>
    <w:rsid w:val="00E9363F"/>
    <w:rsid w:val="00E93BAF"/>
    <w:rsid w:val="00E94196"/>
    <w:rsid w:val="00E953D4"/>
    <w:rsid w:val="00E95830"/>
    <w:rsid w:val="00E95C67"/>
    <w:rsid w:val="00E97CDD"/>
    <w:rsid w:val="00EA023E"/>
    <w:rsid w:val="00EA0AD1"/>
    <w:rsid w:val="00EA0FDF"/>
    <w:rsid w:val="00EA10AB"/>
    <w:rsid w:val="00EA1197"/>
    <w:rsid w:val="00EA1CAA"/>
    <w:rsid w:val="00EA1FAA"/>
    <w:rsid w:val="00EA246E"/>
    <w:rsid w:val="00EA4021"/>
    <w:rsid w:val="00EA48F3"/>
    <w:rsid w:val="00EA4CAE"/>
    <w:rsid w:val="00EA6B92"/>
    <w:rsid w:val="00EA7894"/>
    <w:rsid w:val="00EA7C08"/>
    <w:rsid w:val="00EB0AC9"/>
    <w:rsid w:val="00EB14E6"/>
    <w:rsid w:val="00EB19C1"/>
    <w:rsid w:val="00EB2850"/>
    <w:rsid w:val="00EB3373"/>
    <w:rsid w:val="00EB3ADA"/>
    <w:rsid w:val="00EB3E8A"/>
    <w:rsid w:val="00EB4567"/>
    <w:rsid w:val="00EB4CD7"/>
    <w:rsid w:val="00EB4D3A"/>
    <w:rsid w:val="00EB5AC3"/>
    <w:rsid w:val="00EB66A9"/>
    <w:rsid w:val="00EB6875"/>
    <w:rsid w:val="00EC0129"/>
    <w:rsid w:val="00EC0787"/>
    <w:rsid w:val="00EC0E6C"/>
    <w:rsid w:val="00EC1A3D"/>
    <w:rsid w:val="00EC1C0B"/>
    <w:rsid w:val="00EC1E17"/>
    <w:rsid w:val="00EC3E62"/>
    <w:rsid w:val="00EC5839"/>
    <w:rsid w:val="00EC5986"/>
    <w:rsid w:val="00EC5A2E"/>
    <w:rsid w:val="00EC606B"/>
    <w:rsid w:val="00EC66B9"/>
    <w:rsid w:val="00EC6800"/>
    <w:rsid w:val="00EC6D1C"/>
    <w:rsid w:val="00EC70C9"/>
    <w:rsid w:val="00EC7F3B"/>
    <w:rsid w:val="00ED0014"/>
    <w:rsid w:val="00ED0143"/>
    <w:rsid w:val="00ED0BEF"/>
    <w:rsid w:val="00ED106B"/>
    <w:rsid w:val="00ED1610"/>
    <w:rsid w:val="00ED1849"/>
    <w:rsid w:val="00ED3058"/>
    <w:rsid w:val="00ED3182"/>
    <w:rsid w:val="00ED480A"/>
    <w:rsid w:val="00ED5382"/>
    <w:rsid w:val="00ED610E"/>
    <w:rsid w:val="00ED6A2C"/>
    <w:rsid w:val="00ED6D37"/>
    <w:rsid w:val="00ED76F4"/>
    <w:rsid w:val="00EE04E1"/>
    <w:rsid w:val="00EE1989"/>
    <w:rsid w:val="00EE1FB7"/>
    <w:rsid w:val="00EE270D"/>
    <w:rsid w:val="00EE27B0"/>
    <w:rsid w:val="00EE2D37"/>
    <w:rsid w:val="00EE369B"/>
    <w:rsid w:val="00EE3A5C"/>
    <w:rsid w:val="00EE3C56"/>
    <w:rsid w:val="00EE3E33"/>
    <w:rsid w:val="00EE3E44"/>
    <w:rsid w:val="00EE4AD8"/>
    <w:rsid w:val="00EE7BF4"/>
    <w:rsid w:val="00EF080C"/>
    <w:rsid w:val="00EF1965"/>
    <w:rsid w:val="00EF3A21"/>
    <w:rsid w:val="00EF4140"/>
    <w:rsid w:val="00EF4A03"/>
    <w:rsid w:val="00EF4D54"/>
    <w:rsid w:val="00F00229"/>
    <w:rsid w:val="00F00BCC"/>
    <w:rsid w:val="00F01CE8"/>
    <w:rsid w:val="00F0344B"/>
    <w:rsid w:val="00F0350B"/>
    <w:rsid w:val="00F03A7C"/>
    <w:rsid w:val="00F03E03"/>
    <w:rsid w:val="00F044C8"/>
    <w:rsid w:val="00F04AF4"/>
    <w:rsid w:val="00F05434"/>
    <w:rsid w:val="00F058F9"/>
    <w:rsid w:val="00F05D4C"/>
    <w:rsid w:val="00F05E2D"/>
    <w:rsid w:val="00F061B3"/>
    <w:rsid w:val="00F061B6"/>
    <w:rsid w:val="00F066C4"/>
    <w:rsid w:val="00F067B2"/>
    <w:rsid w:val="00F0699F"/>
    <w:rsid w:val="00F06CCA"/>
    <w:rsid w:val="00F0781D"/>
    <w:rsid w:val="00F07BFC"/>
    <w:rsid w:val="00F07D01"/>
    <w:rsid w:val="00F1075F"/>
    <w:rsid w:val="00F10C72"/>
    <w:rsid w:val="00F10E01"/>
    <w:rsid w:val="00F11107"/>
    <w:rsid w:val="00F113DF"/>
    <w:rsid w:val="00F129E3"/>
    <w:rsid w:val="00F12C1A"/>
    <w:rsid w:val="00F12CD3"/>
    <w:rsid w:val="00F13091"/>
    <w:rsid w:val="00F1385A"/>
    <w:rsid w:val="00F144A9"/>
    <w:rsid w:val="00F14726"/>
    <w:rsid w:val="00F15374"/>
    <w:rsid w:val="00F15C3A"/>
    <w:rsid w:val="00F16815"/>
    <w:rsid w:val="00F170E9"/>
    <w:rsid w:val="00F20DC7"/>
    <w:rsid w:val="00F2143C"/>
    <w:rsid w:val="00F218FC"/>
    <w:rsid w:val="00F21B55"/>
    <w:rsid w:val="00F21FB2"/>
    <w:rsid w:val="00F225B0"/>
    <w:rsid w:val="00F226E4"/>
    <w:rsid w:val="00F227F1"/>
    <w:rsid w:val="00F228B7"/>
    <w:rsid w:val="00F229AB"/>
    <w:rsid w:val="00F236A4"/>
    <w:rsid w:val="00F23810"/>
    <w:rsid w:val="00F24EAD"/>
    <w:rsid w:val="00F24F5A"/>
    <w:rsid w:val="00F250F9"/>
    <w:rsid w:val="00F30734"/>
    <w:rsid w:val="00F312B3"/>
    <w:rsid w:val="00F31C99"/>
    <w:rsid w:val="00F32F35"/>
    <w:rsid w:val="00F333BC"/>
    <w:rsid w:val="00F35522"/>
    <w:rsid w:val="00F35BD5"/>
    <w:rsid w:val="00F35E88"/>
    <w:rsid w:val="00F36694"/>
    <w:rsid w:val="00F37D24"/>
    <w:rsid w:val="00F37ECC"/>
    <w:rsid w:val="00F41878"/>
    <w:rsid w:val="00F41AFD"/>
    <w:rsid w:val="00F423DB"/>
    <w:rsid w:val="00F4257E"/>
    <w:rsid w:val="00F42989"/>
    <w:rsid w:val="00F42D8D"/>
    <w:rsid w:val="00F431B0"/>
    <w:rsid w:val="00F43C3D"/>
    <w:rsid w:val="00F43CC2"/>
    <w:rsid w:val="00F43DA2"/>
    <w:rsid w:val="00F43F09"/>
    <w:rsid w:val="00F43F75"/>
    <w:rsid w:val="00F4420F"/>
    <w:rsid w:val="00F45065"/>
    <w:rsid w:val="00F461AE"/>
    <w:rsid w:val="00F46DF8"/>
    <w:rsid w:val="00F472AE"/>
    <w:rsid w:val="00F5042A"/>
    <w:rsid w:val="00F5104F"/>
    <w:rsid w:val="00F51828"/>
    <w:rsid w:val="00F52100"/>
    <w:rsid w:val="00F52B21"/>
    <w:rsid w:val="00F52C06"/>
    <w:rsid w:val="00F53470"/>
    <w:rsid w:val="00F5359C"/>
    <w:rsid w:val="00F536D8"/>
    <w:rsid w:val="00F53DB5"/>
    <w:rsid w:val="00F55BAD"/>
    <w:rsid w:val="00F56481"/>
    <w:rsid w:val="00F56F9E"/>
    <w:rsid w:val="00F57D02"/>
    <w:rsid w:val="00F606F5"/>
    <w:rsid w:val="00F60D44"/>
    <w:rsid w:val="00F60D5E"/>
    <w:rsid w:val="00F61048"/>
    <w:rsid w:val="00F6137E"/>
    <w:rsid w:val="00F61894"/>
    <w:rsid w:val="00F62055"/>
    <w:rsid w:val="00F632DB"/>
    <w:rsid w:val="00F63675"/>
    <w:rsid w:val="00F6443B"/>
    <w:rsid w:val="00F66066"/>
    <w:rsid w:val="00F66C52"/>
    <w:rsid w:val="00F66C99"/>
    <w:rsid w:val="00F66D1C"/>
    <w:rsid w:val="00F67F97"/>
    <w:rsid w:val="00F70214"/>
    <w:rsid w:val="00F70253"/>
    <w:rsid w:val="00F70738"/>
    <w:rsid w:val="00F70854"/>
    <w:rsid w:val="00F713EC"/>
    <w:rsid w:val="00F719CD"/>
    <w:rsid w:val="00F71CAA"/>
    <w:rsid w:val="00F72416"/>
    <w:rsid w:val="00F72DBC"/>
    <w:rsid w:val="00F73B02"/>
    <w:rsid w:val="00F74B0F"/>
    <w:rsid w:val="00F75784"/>
    <w:rsid w:val="00F757F4"/>
    <w:rsid w:val="00F75ACF"/>
    <w:rsid w:val="00F76137"/>
    <w:rsid w:val="00F7677B"/>
    <w:rsid w:val="00F76905"/>
    <w:rsid w:val="00F76FE2"/>
    <w:rsid w:val="00F80279"/>
    <w:rsid w:val="00F80552"/>
    <w:rsid w:val="00F80619"/>
    <w:rsid w:val="00F807DA"/>
    <w:rsid w:val="00F81202"/>
    <w:rsid w:val="00F81B3B"/>
    <w:rsid w:val="00F8265E"/>
    <w:rsid w:val="00F8297D"/>
    <w:rsid w:val="00F82C91"/>
    <w:rsid w:val="00F83237"/>
    <w:rsid w:val="00F838C5"/>
    <w:rsid w:val="00F84D10"/>
    <w:rsid w:val="00F850A2"/>
    <w:rsid w:val="00F85E55"/>
    <w:rsid w:val="00F85F26"/>
    <w:rsid w:val="00F863F5"/>
    <w:rsid w:val="00F8710C"/>
    <w:rsid w:val="00F87177"/>
    <w:rsid w:val="00F871F5"/>
    <w:rsid w:val="00F8759C"/>
    <w:rsid w:val="00F90581"/>
    <w:rsid w:val="00F90724"/>
    <w:rsid w:val="00F907B2"/>
    <w:rsid w:val="00F914C9"/>
    <w:rsid w:val="00F95465"/>
    <w:rsid w:val="00F95675"/>
    <w:rsid w:val="00F95771"/>
    <w:rsid w:val="00F9581C"/>
    <w:rsid w:val="00F95DD0"/>
    <w:rsid w:val="00F96E65"/>
    <w:rsid w:val="00F9715E"/>
    <w:rsid w:val="00F97280"/>
    <w:rsid w:val="00FA18BB"/>
    <w:rsid w:val="00FA2683"/>
    <w:rsid w:val="00FA3B52"/>
    <w:rsid w:val="00FA3F2D"/>
    <w:rsid w:val="00FA42F2"/>
    <w:rsid w:val="00FA5364"/>
    <w:rsid w:val="00FA58E9"/>
    <w:rsid w:val="00FA597B"/>
    <w:rsid w:val="00FA5BE1"/>
    <w:rsid w:val="00FA5E28"/>
    <w:rsid w:val="00FA66F4"/>
    <w:rsid w:val="00FA7129"/>
    <w:rsid w:val="00FA77AB"/>
    <w:rsid w:val="00FA7975"/>
    <w:rsid w:val="00FB042F"/>
    <w:rsid w:val="00FB07F9"/>
    <w:rsid w:val="00FB2E87"/>
    <w:rsid w:val="00FB2F81"/>
    <w:rsid w:val="00FB42B4"/>
    <w:rsid w:val="00FB6CBB"/>
    <w:rsid w:val="00FB701B"/>
    <w:rsid w:val="00FC0C79"/>
    <w:rsid w:val="00FC0F99"/>
    <w:rsid w:val="00FC15AF"/>
    <w:rsid w:val="00FC1898"/>
    <w:rsid w:val="00FC1E68"/>
    <w:rsid w:val="00FC1F12"/>
    <w:rsid w:val="00FC2B3C"/>
    <w:rsid w:val="00FC2F4B"/>
    <w:rsid w:val="00FC3B1A"/>
    <w:rsid w:val="00FC44E5"/>
    <w:rsid w:val="00FC4B53"/>
    <w:rsid w:val="00FC4E45"/>
    <w:rsid w:val="00FC515A"/>
    <w:rsid w:val="00FC599E"/>
    <w:rsid w:val="00FC6188"/>
    <w:rsid w:val="00FC6CE8"/>
    <w:rsid w:val="00FD0B04"/>
    <w:rsid w:val="00FD0B62"/>
    <w:rsid w:val="00FD0D03"/>
    <w:rsid w:val="00FD116C"/>
    <w:rsid w:val="00FD1A5A"/>
    <w:rsid w:val="00FD2067"/>
    <w:rsid w:val="00FD3C64"/>
    <w:rsid w:val="00FD4069"/>
    <w:rsid w:val="00FD4204"/>
    <w:rsid w:val="00FD4403"/>
    <w:rsid w:val="00FD47A3"/>
    <w:rsid w:val="00FD494C"/>
    <w:rsid w:val="00FD49A1"/>
    <w:rsid w:val="00FD512F"/>
    <w:rsid w:val="00FD617A"/>
    <w:rsid w:val="00FD70AC"/>
    <w:rsid w:val="00FD7560"/>
    <w:rsid w:val="00FD77B5"/>
    <w:rsid w:val="00FE152A"/>
    <w:rsid w:val="00FE3B3B"/>
    <w:rsid w:val="00FE3D04"/>
    <w:rsid w:val="00FE3FA8"/>
    <w:rsid w:val="00FE4602"/>
    <w:rsid w:val="00FE5055"/>
    <w:rsid w:val="00FE54CB"/>
    <w:rsid w:val="00FE5E7F"/>
    <w:rsid w:val="00FE5F44"/>
    <w:rsid w:val="00FE7215"/>
    <w:rsid w:val="00FE7BBD"/>
    <w:rsid w:val="00FE7EA0"/>
    <w:rsid w:val="00FF053C"/>
    <w:rsid w:val="00FF103D"/>
    <w:rsid w:val="00FF27A4"/>
    <w:rsid w:val="00FF2FF0"/>
    <w:rsid w:val="00FF3923"/>
    <w:rsid w:val="00FF3E37"/>
    <w:rsid w:val="00FF435D"/>
    <w:rsid w:val="00FF4438"/>
    <w:rsid w:val="00FF44D5"/>
    <w:rsid w:val="00FF4922"/>
    <w:rsid w:val="00FF4E71"/>
    <w:rsid w:val="00FF4ED3"/>
    <w:rsid w:val="00FF4F76"/>
    <w:rsid w:val="00FF5058"/>
    <w:rsid w:val="00FF6778"/>
    <w:rsid w:val="00FF67E9"/>
    <w:rsid w:val="00FF73C4"/>
    <w:rsid w:val="00FF7507"/>
    <w:rsid w:val="01C76F50"/>
    <w:rsid w:val="02349714"/>
    <w:rsid w:val="02DC1F9E"/>
    <w:rsid w:val="03B85A4D"/>
    <w:rsid w:val="03CFC2B0"/>
    <w:rsid w:val="0599505F"/>
    <w:rsid w:val="0625BAC6"/>
    <w:rsid w:val="0660AE37"/>
    <w:rsid w:val="073E6CF9"/>
    <w:rsid w:val="081529F7"/>
    <w:rsid w:val="090B9A88"/>
    <w:rsid w:val="099B15F6"/>
    <w:rsid w:val="09C4663C"/>
    <w:rsid w:val="0A76269D"/>
    <w:rsid w:val="0B47DD9E"/>
    <w:rsid w:val="0C0FDE83"/>
    <w:rsid w:val="0C442EE8"/>
    <w:rsid w:val="0C5C63A7"/>
    <w:rsid w:val="0D8F74FE"/>
    <w:rsid w:val="0E57026B"/>
    <w:rsid w:val="0EB4E4A7"/>
    <w:rsid w:val="0EEE79CD"/>
    <w:rsid w:val="0F181B24"/>
    <w:rsid w:val="0F7ADC0C"/>
    <w:rsid w:val="10B87C24"/>
    <w:rsid w:val="11335699"/>
    <w:rsid w:val="1256C3CA"/>
    <w:rsid w:val="126AAE56"/>
    <w:rsid w:val="12F5528D"/>
    <w:rsid w:val="13F72E9E"/>
    <w:rsid w:val="1520E3F3"/>
    <w:rsid w:val="15739F85"/>
    <w:rsid w:val="16733BCF"/>
    <w:rsid w:val="1794D483"/>
    <w:rsid w:val="17991253"/>
    <w:rsid w:val="17D010D4"/>
    <w:rsid w:val="18D144BA"/>
    <w:rsid w:val="19B7A2CC"/>
    <w:rsid w:val="1A158145"/>
    <w:rsid w:val="1AFBD46F"/>
    <w:rsid w:val="1B49731A"/>
    <w:rsid w:val="1C0C15E9"/>
    <w:rsid w:val="1C9B612E"/>
    <w:rsid w:val="1D09C7E1"/>
    <w:rsid w:val="1E2F76DA"/>
    <w:rsid w:val="1E721FB5"/>
    <w:rsid w:val="1F3BA27F"/>
    <w:rsid w:val="1F702868"/>
    <w:rsid w:val="2011877E"/>
    <w:rsid w:val="2036CA4B"/>
    <w:rsid w:val="2101DE84"/>
    <w:rsid w:val="219F23F9"/>
    <w:rsid w:val="21EA05DB"/>
    <w:rsid w:val="22028D86"/>
    <w:rsid w:val="223659A5"/>
    <w:rsid w:val="2250904B"/>
    <w:rsid w:val="22C35DAF"/>
    <w:rsid w:val="233F3A5C"/>
    <w:rsid w:val="239A55D9"/>
    <w:rsid w:val="23C8CE74"/>
    <w:rsid w:val="246ADA3C"/>
    <w:rsid w:val="24936BA4"/>
    <w:rsid w:val="24B3C712"/>
    <w:rsid w:val="252EC79A"/>
    <w:rsid w:val="25AB5870"/>
    <w:rsid w:val="25BC7F7B"/>
    <w:rsid w:val="268D82BD"/>
    <w:rsid w:val="298397A1"/>
    <w:rsid w:val="2A59B997"/>
    <w:rsid w:val="2A93A95A"/>
    <w:rsid w:val="2A956528"/>
    <w:rsid w:val="2B984600"/>
    <w:rsid w:val="2C04C3F6"/>
    <w:rsid w:val="2CFED8FA"/>
    <w:rsid w:val="2D35444D"/>
    <w:rsid w:val="2D829F9F"/>
    <w:rsid w:val="2DAFE64C"/>
    <w:rsid w:val="2EE3EE48"/>
    <w:rsid w:val="2F8DE7E1"/>
    <w:rsid w:val="30FB0264"/>
    <w:rsid w:val="31167F2B"/>
    <w:rsid w:val="313EDFB5"/>
    <w:rsid w:val="3254F8BC"/>
    <w:rsid w:val="3363C73A"/>
    <w:rsid w:val="35B8A529"/>
    <w:rsid w:val="360EEA5D"/>
    <w:rsid w:val="366F9089"/>
    <w:rsid w:val="3729CDF2"/>
    <w:rsid w:val="37B111F4"/>
    <w:rsid w:val="3854FF0B"/>
    <w:rsid w:val="38D1A76C"/>
    <w:rsid w:val="3952918A"/>
    <w:rsid w:val="395BDC62"/>
    <w:rsid w:val="396BB9E7"/>
    <w:rsid w:val="3AA19251"/>
    <w:rsid w:val="3AFCD557"/>
    <w:rsid w:val="3C8A324C"/>
    <w:rsid w:val="3C8E5C42"/>
    <w:rsid w:val="3CCA9BD7"/>
    <w:rsid w:val="3CDC57FC"/>
    <w:rsid w:val="3FD76648"/>
    <w:rsid w:val="40132D23"/>
    <w:rsid w:val="4086A729"/>
    <w:rsid w:val="415DA36F"/>
    <w:rsid w:val="41A10A46"/>
    <w:rsid w:val="42060A78"/>
    <w:rsid w:val="425B9533"/>
    <w:rsid w:val="4312709C"/>
    <w:rsid w:val="442A174E"/>
    <w:rsid w:val="4497B86F"/>
    <w:rsid w:val="44C698E1"/>
    <w:rsid w:val="44D5F833"/>
    <w:rsid w:val="44DF4A85"/>
    <w:rsid w:val="4555D27D"/>
    <w:rsid w:val="45878639"/>
    <w:rsid w:val="45BFDCFE"/>
    <w:rsid w:val="45CE7DFB"/>
    <w:rsid w:val="47604EE9"/>
    <w:rsid w:val="4788857C"/>
    <w:rsid w:val="47BF4F43"/>
    <w:rsid w:val="47F9D042"/>
    <w:rsid w:val="4953AC3E"/>
    <w:rsid w:val="4987A0BF"/>
    <w:rsid w:val="49B3E946"/>
    <w:rsid w:val="4AEF0066"/>
    <w:rsid w:val="4B0C733B"/>
    <w:rsid w:val="4B79BE59"/>
    <w:rsid w:val="4BA019B4"/>
    <w:rsid w:val="4CA8439C"/>
    <w:rsid w:val="4CAF3A5D"/>
    <w:rsid w:val="4DBC0C4E"/>
    <w:rsid w:val="50999A7F"/>
    <w:rsid w:val="50ABF5A2"/>
    <w:rsid w:val="52FA5C5A"/>
    <w:rsid w:val="53178520"/>
    <w:rsid w:val="53751D8B"/>
    <w:rsid w:val="5387EEF1"/>
    <w:rsid w:val="53AEA2DF"/>
    <w:rsid w:val="54A151F3"/>
    <w:rsid w:val="54B35581"/>
    <w:rsid w:val="54BFB8A7"/>
    <w:rsid w:val="555EB0E5"/>
    <w:rsid w:val="55E19042"/>
    <w:rsid w:val="567C288D"/>
    <w:rsid w:val="578F1257"/>
    <w:rsid w:val="57EAF643"/>
    <w:rsid w:val="58F87BE5"/>
    <w:rsid w:val="5C4AE035"/>
    <w:rsid w:val="5CA134DE"/>
    <w:rsid w:val="5CBE6766"/>
    <w:rsid w:val="5DB0379D"/>
    <w:rsid w:val="5E9D24AD"/>
    <w:rsid w:val="5EE4A658"/>
    <w:rsid w:val="5F6B5D79"/>
    <w:rsid w:val="5F8B8A03"/>
    <w:rsid w:val="5FAB12D7"/>
    <w:rsid w:val="5FC265B7"/>
    <w:rsid w:val="60FDDC99"/>
    <w:rsid w:val="6125427F"/>
    <w:rsid w:val="613A6AE6"/>
    <w:rsid w:val="614851F1"/>
    <w:rsid w:val="61B8F294"/>
    <w:rsid w:val="6256ACA4"/>
    <w:rsid w:val="629FDF7A"/>
    <w:rsid w:val="63203E2C"/>
    <w:rsid w:val="632959B4"/>
    <w:rsid w:val="63F27D05"/>
    <w:rsid w:val="64163D4A"/>
    <w:rsid w:val="64AF1974"/>
    <w:rsid w:val="653D27C7"/>
    <w:rsid w:val="6545854D"/>
    <w:rsid w:val="65B8ED08"/>
    <w:rsid w:val="6607C98C"/>
    <w:rsid w:val="6612C58A"/>
    <w:rsid w:val="6746B15E"/>
    <w:rsid w:val="67942A6A"/>
    <w:rsid w:val="68AA5C1F"/>
    <w:rsid w:val="68B2735E"/>
    <w:rsid w:val="68DBB4A3"/>
    <w:rsid w:val="69172C07"/>
    <w:rsid w:val="6BA3BE2B"/>
    <w:rsid w:val="6C1DDF91"/>
    <w:rsid w:val="6C409CBB"/>
    <w:rsid w:val="6C935887"/>
    <w:rsid w:val="6D5BB819"/>
    <w:rsid w:val="6E785880"/>
    <w:rsid w:val="6EB4E5EB"/>
    <w:rsid w:val="6ECC2241"/>
    <w:rsid w:val="6EF68CB9"/>
    <w:rsid w:val="6F3BF28F"/>
    <w:rsid w:val="6F71F370"/>
    <w:rsid w:val="70C6F675"/>
    <w:rsid w:val="71AB9AA3"/>
    <w:rsid w:val="71CA180B"/>
    <w:rsid w:val="7457FC15"/>
    <w:rsid w:val="749CCACB"/>
    <w:rsid w:val="74DECB86"/>
    <w:rsid w:val="7722836C"/>
    <w:rsid w:val="7742AD09"/>
    <w:rsid w:val="774C6AFE"/>
    <w:rsid w:val="7830B9D9"/>
    <w:rsid w:val="78D569C6"/>
    <w:rsid w:val="79353D57"/>
    <w:rsid w:val="797777E1"/>
    <w:rsid w:val="79B2547C"/>
    <w:rsid w:val="79B6AC88"/>
    <w:rsid w:val="7CECBC3B"/>
    <w:rsid w:val="7DA1CF65"/>
    <w:rsid w:val="7F774C29"/>
    <w:rsid w:val="7FE9191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998CF3"/>
  <w15:chartTrackingRefBased/>
  <w15:docId w15:val="{079D32F7-A130-434E-993C-BBDFBFE2D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0CF3"/>
    <w:pPr>
      <w:spacing w:line="264" w:lineRule="auto"/>
      <w:jc w:val="both"/>
    </w:pPr>
    <w:rPr>
      <w:rFonts w:ascii="Verdana" w:hAnsi="Verdana"/>
      <w:color w:val="2B2929" w:themeColor="text1" w:themeShade="BF"/>
      <w:sz w:val="20"/>
      <w:szCs w:val="18"/>
    </w:rPr>
  </w:style>
  <w:style w:type="paragraph" w:styleId="Heading1">
    <w:name w:val="heading 1"/>
    <w:basedOn w:val="Normal"/>
    <w:next w:val="Normal"/>
    <w:link w:val="Heading1Char"/>
    <w:uiPriority w:val="9"/>
    <w:qFormat/>
    <w:rsid w:val="009E4050"/>
    <w:pPr>
      <w:jc w:val="left"/>
      <w:outlineLvl w:val="0"/>
    </w:pPr>
    <w:rPr>
      <w:rFonts w:ascii="Georgia" w:hAnsi="Georgia" w:cs="Arial (Body CS)"/>
      <w:b/>
      <w:bCs/>
      <w:spacing w:val="4"/>
      <w:sz w:val="44"/>
      <w:szCs w:val="14"/>
    </w:rPr>
  </w:style>
  <w:style w:type="paragraph" w:styleId="Heading2">
    <w:name w:val="heading 2"/>
    <w:basedOn w:val="Normal"/>
    <w:next w:val="Normal"/>
    <w:link w:val="Heading2Char"/>
    <w:uiPriority w:val="9"/>
    <w:semiHidden/>
    <w:unhideWhenUsed/>
    <w:qFormat/>
    <w:rsid w:val="00F8297D"/>
    <w:pPr>
      <w:keepNext/>
      <w:keepLines/>
      <w:spacing w:before="40"/>
      <w:outlineLvl w:val="1"/>
    </w:pPr>
    <w:rPr>
      <w:rFonts w:asciiTheme="majorHAnsi" w:eastAsiaTheme="majorEastAsia" w:hAnsiTheme="majorHAnsi" w:cstheme="majorBidi"/>
      <w:color w:val="154C52" w:themeColor="accent1" w:themeShade="BF"/>
      <w:sz w:val="26"/>
      <w:szCs w:val="26"/>
    </w:rPr>
  </w:style>
  <w:style w:type="paragraph" w:styleId="Heading3">
    <w:name w:val="heading 3"/>
    <w:basedOn w:val="Normal"/>
    <w:next w:val="Normal"/>
    <w:link w:val="Heading3Char"/>
    <w:uiPriority w:val="9"/>
    <w:unhideWhenUsed/>
    <w:qFormat/>
    <w:rsid w:val="00CB274D"/>
    <w:pPr>
      <w:keepNext/>
      <w:keepLines/>
      <w:spacing w:before="40"/>
      <w:outlineLvl w:val="2"/>
    </w:pPr>
    <w:rPr>
      <w:rFonts w:asciiTheme="majorHAnsi" w:eastAsiaTheme="majorEastAsia" w:hAnsiTheme="majorHAnsi" w:cstheme="majorBidi"/>
      <w:color w:val="0E3236" w:themeColor="accent1" w:themeShade="7F"/>
      <w:sz w:val="24"/>
      <w:szCs w:val="24"/>
    </w:rPr>
  </w:style>
  <w:style w:type="paragraph" w:styleId="Heading4">
    <w:name w:val="heading 4"/>
    <w:basedOn w:val="Normal"/>
    <w:next w:val="Normal"/>
    <w:link w:val="Heading4Char"/>
    <w:uiPriority w:val="9"/>
    <w:unhideWhenUsed/>
    <w:qFormat/>
    <w:rsid w:val="004E7DA5"/>
    <w:pPr>
      <w:keepNext/>
      <w:keepLines/>
      <w:spacing w:before="40"/>
      <w:outlineLvl w:val="3"/>
    </w:pPr>
    <w:rPr>
      <w:rFonts w:asciiTheme="majorHAnsi" w:eastAsiaTheme="majorEastAsia" w:hAnsiTheme="majorHAnsi" w:cstheme="majorBidi"/>
      <w:i/>
      <w:iCs/>
      <w:color w:val="154C52" w:themeColor="accent1" w:themeShade="BF"/>
    </w:rPr>
  </w:style>
  <w:style w:type="paragraph" w:styleId="Heading5">
    <w:name w:val="heading 5"/>
    <w:basedOn w:val="Normal"/>
    <w:next w:val="Normal"/>
    <w:link w:val="Heading5Char"/>
    <w:uiPriority w:val="9"/>
    <w:semiHidden/>
    <w:unhideWhenUsed/>
    <w:qFormat/>
    <w:rsid w:val="00B73682"/>
    <w:pPr>
      <w:keepNext/>
      <w:keepLines/>
      <w:spacing w:before="40"/>
      <w:outlineLvl w:val="4"/>
    </w:pPr>
    <w:rPr>
      <w:rFonts w:asciiTheme="majorHAnsi" w:eastAsiaTheme="majorEastAsia" w:hAnsiTheme="majorHAnsi" w:cstheme="majorBidi"/>
      <w:color w:val="154C52" w:themeColor="accent1" w:themeShade="BF"/>
    </w:rPr>
  </w:style>
  <w:style w:type="paragraph" w:styleId="Heading8">
    <w:name w:val="heading 8"/>
    <w:basedOn w:val="Normal"/>
    <w:next w:val="Normal"/>
    <w:link w:val="Heading8Char"/>
    <w:uiPriority w:val="9"/>
    <w:semiHidden/>
    <w:unhideWhenUsed/>
    <w:qFormat/>
    <w:rsid w:val="00F8297D"/>
    <w:pPr>
      <w:keepNext/>
      <w:keepLines/>
      <w:spacing w:before="40"/>
      <w:outlineLvl w:val="7"/>
    </w:pPr>
    <w:rPr>
      <w:rFonts w:asciiTheme="majorHAnsi" w:eastAsiaTheme="majorEastAsia" w:hAnsiTheme="majorHAnsi" w:cstheme="majorBidi"/>
      <w:color w:val="3A3737" w:themeColor="text1"/>
      <w:sz w:val="21"/>
      <w14:textFill>
        <w14:solidFill>
          <w14:schemeClr w14:val="tx1">
            <w14:lumMod w14:val="85000"/>
            <w14:lumOff w14:val="15000"/>
            <w14:lumMod w14:val="75000"/>
          </w14:scheme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740C"/>
    <w:pPr>
      <w:ind w:left="720"/>
      <w:contextualSpacing/>
    </w:pPr>
  </w:style>
  <w:style w:type="paragraph" w:styleId="Header">
    <w:name w:val="header"/>
    <w:basedOn w:val="Normal"/>
    <w:link w:val="HeaderChar"/>
    <w:uiPriority w:val="99"/>
    <w:unhideWhenUsed/>
    <w:rsid w:val="00F225B0"/>
    <w:pPr>
      <w:tabs>
        <w:tab w:val="center" w:pos="4680"/>
        <w:tab w:val="right" w:pos="9360"/>
      </w:tabs>
    </w:pPr>
  </w:style>
  <w:style w:type="character" w:customStyle="1" w:styleId="HeaderChar">
    <w:name w:val="Header Char"/>
    <w:basedOn w:val="DefaultParagraphFont"/>
    <w:link w:val="Header"/>
    <w:uiPriority w:val="99"/>
    <w:rsid w:val="00F225B0"/>
    <w:rPr>
      <w:rFonts w:ascii="Tw Cen MT" w:hAnsi="Tw Cen MT"/>
    </w:rPr>
  </w:style>
  <w:style w:type="paragraph" w:styleId="Footer">
    <w:name w:val="footer"/>
    <w:basedOn w:val="Normal"/>
    <w:link w:val="FooterChar"/>
    <w:uiPriority w:val="99"/>
    <w:unhideWhenUsed/>
    <w:rsid w:val="00F225B0"/>
    <w:pPr>
      <w:tabs>
        <w:tab w:val="center" w:pos="4680"/>
        <w:tab w:val="right" w:pos="9360"/>
      </w:tabs>
    </w:pPr>
  </w:style>
  <w:style w:type="character" w:customStyle="1" w:styleId="FooterChar">
    <w:name w:val="Footer Char"/>
    <w:basedOn w:val="DefaultParagraphFont"/>
    <w:link w:val="Footer"/>
    <w:uiPriority w:val="99"/>
    <w:rsid w:val="00F225B0"/>
    <w:rPr>
      <w:rFonts w:ascii="Tw Cen MT" w:hAnsi="Tw Cen MT"/>
    </w:rPr>
  </w:style>
  <w:style w:type="character" w:customStyle="1" w:styleId="Heading1Char">
    <w:name w:val="Heading 1 Char"/>
    <w:basedOn w:val="DefaultParagraphFont"/>
    <w:link w:val="Heading1"/>
    <w:uiPriority w:val="9"/>
    <w:rsid w:val="009E4050"/>
    <w:rPr>
      <w:rFonts w:ascii="Georgia" w:hAnsi="Georgia" w:cs="Arial (Body CS)"/>
      <w:b/>
      <w:bCs/>
      <w:color w:val="2B2929" w:themeColor="text1" w:themeShade="BF"/>
      <w:spacing w:val="4"/>
      <w:sz w:val="44"/>
      <w:szCs w:val="14"/>
    </w:rPr>
  </w:style>
  <w:style w:type="paragraph" w:styleId="Title">
    <w:name w:val="Title"/>
    <w:basedOn w:val="Normal"/>
    <w:next w:val="Normal"/>
    <w:link w:val="TitleChar"/>
    <w:uiPriority w:val="10"/>
    <w:qFormat/>
    <w:rsid w:val="00026E18"/>
    <w:rPr>
      <w:color w:val="FFFFFF" w:themeColor="background1"/>
      <w:spacing w:val="20"/>
      <w:sz w:val="28"/>
    </w:rPr>
  </w:style>
  <w:style w:type="character" w:customStyle="1" w:styleId="TitleChar">
    <w:name w:val="Title Char"/>
    <w:basedOn w:val="DefaultParagraphFont"/>
    <w:link w:val="Title"/>
    <w:uiPriority w:val="10"/>
    <w:rsid w:val="00026E18"/>
    <w:rPr>
      <w:rFonts w:ascii="Tw Cen MT" w:hAnsi="Tw Cen MT"/>
      <w:color w:val="FFFFFF" w:themeColor="background1"/>
      <w:spacing w:val="20"/>
      <w:sz w:val="28"/>
    </w:rPr>
  </w:style>
  <w:style w:type="table" w:styleId="TableGrid">
    <w:name w:val="Table Grid"/>
    <w:basedOn w:val="TableNormal"/>
    <w:uiPriority w:val="39"/>
    <w:rsid w:val="00AC48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List">
    <w:name w:val="Numbered List"/>
    <w:basedOn w:val="ListParagraph"/>
    <w:qFormat/>
    <w:rsid w:val="001B5B03"/>
    <w:pPr>
      <w:numPr>
        <w:numId w:val="1"/>
      </w:numPr>
    </w:pPr>
    <w:rPr>
      <w:szCs w:val="22"/>
    </w:rPr>
  </w:style>
  <w:style w:type="character" w:styleId="PageNumber">
    <w:name w:val="page number"/>
    <w:basedOn w:val="DefaultParagraphFont"/>
    <w:uiPriority w:val="99"/>
    <w:semiHidden/>
    <w:unhideWhenUsed/>
    <w:rsid w:val="00026E18"/>
  </w:style>
  <w:style w:type="paragraph" w:styleId="Subtitle">
    <w:name w:val="Subtitle"/>
    <w:basedOn w:val="Heading2"/>
    <w:next w:val="Normal"/>
    <w:link w:val="SubtitleChar"/>
    <w:uiPriority w:val="11"/>
    <w:qFormat/>
    <w:rsid w:val="006845CF"/>
    <w:pPr>
      <w:jc w:val="left"/>
    </w:pPr>
    <w:rPr>
      <w:rFonts w:ascii="Georgia" w:hAnsi="Georgia"/>
      <w:color w:val="1D666E" w:themeColor="accent1"/>
      <w:sz w:val="32"/>
      <w:szCs w:val="32"/>
    </w:rPr>
  </w:style>
  <w:style w:type="character" w:customStyle="1" w:styleId="SubtitleChar">
    <w:name w:val="Subtitle Char"/>
    <w:basedOn w:val="DefaultParagraphFont"/>
    <w:link w:val="Subtitle"/>
    <w:uiPriority w:val="11"/>
    <w:rsid w:val="006845CF"/>
    <w:rPr>
      <w:rFonts w:ascii="Georgia" w:eastAsiaTheme="majorEastAsia" w:hAnsi="Georgia" w:cstheme="majorBidi"/>
      <w:color w:val="1D666E" w:themeColor="accent1"/>
      <w:sz w:val="32"/>
      <w:szCs w:val="32"/>
    </w:rPr>
  </w:style>
  <w:style w:type="paragraph" w:customStyle="1" w:styleId="PLANTASKDESC">
    <w:name w:val="PLAN TASK DESC"/>
    <w:qFormat/>
    <w:rsid w:val="001B5B03"/>
    <w:pPr>
      <w:widowControl w:val="0"/>
      <w:autoSpaceDE w:val="0"/>
      <w:autoSpaceDN w:val="0"/>
      <w:adjustRightInd w:val="0"/>
      <w:spacing w:after="240" w:line="280" w:lineRule="exact"/>
      <w:jc w:val="both"/>
    </w:pPr>
    <w:rPr>
      <w:rFonts w:ascii="Calibri Light" w:eastAsia="Times New Roman" w:hAnsi="Calibri Light" w:cs="Calibri-Bold"/>
      <w:sz w:val="22"/>
    </w:rPr>
  </w:style>
  <w:style w:type="paragraph" w:customStyle="1" w:styleId="Subtitle2">
    <w:name w:val="Subtitle 2"/>
    <w:basedOn w:val="Normal"/>
    <w:qFormat/>
    <w:rsid w:val="006845CF"/>
    <w:pPr>
      <w:spacing w:before="120" w:line="240" w:lineRule="auto"/>
      <w:jc w:val="left"/>
    </w:pPr>
    <w:rPr>
      <w:rFonts w:ascii="Georgia" w:eastAsia="Times New Roman" w:hAnsi="Georgia" w:cs="Times New Roman"/>
      <w:b/>
      <w:caps/>
      <w:color w:val="3A3737" w:themeColor="text1"/>
      <w:spacing w:val="12"/>
      <w:sz w:val="21"/>
      <w:szCs w:val="21"/>
    </w:rPr>
  </w:style>
  <w:style w:type="paragraph" w:customStyle="1" w:styleId="PLANTASKSECT">
    <w:name w:val="PLAN TASK SECT"/>
    <w:basedOn w:val="Subtitle2"/>
    <w:qFormat/>
    <w:rsid w:val="001B5B03"/>
    <w:pPr>
      <w:ind w:left="720"/>
    </w:pPr>
  </w:style>
  <w:style w:type="character" w:customStyle="1" w:styleId="Heading2Char">
    <w:name w:val="Heading 2 Char"/>
    <w:basedOn w:val="DefaultParagraphFont"/>
    <w:link w:val="Heading2"/>
    <w:uiPriority w:val="9"/>
    <w:semiHidden/>
    <w:rsid w:val="00F8297D"/>
    <w:rPr>
      <w:rFonts w:asciiTheme="majorHAnsi" w:eastAsiaTheme="majorEastAsia" w:hAnsiTheme="majorHAnsi" w:cstheme="majorBidi"/>
      <w:color w:val="154C52" w:themeColor="accent1" w:themeShade="BF"/>
      <w:sz w:val="26"/>
      <w:szCs w:val="26"/>
    </w:rPr>
  </w:style>
  <w:style w:type="paragraph" w:customStyle="1" w:styleId="Bullets">
    <w:name w:val="Bullets"/>
    <w:basedOn w:val="Normal"/>
    <w:rsid w:val="00B35CDA"/>
    <w:pPr>
      <w:numPr>
        <w:numId w:val="2"/>
      </w:numPr>
      <w:spacing w:before="120"/>
    </w:pPr>
  </w:style>
  <w:style w:type="character" w:customStyle="1" w:styleId="Heading8Char">
    <w:name w:val="Heading 8 Char"/>
    <w:basedOn w:val="DefaultParagraphFont"/>
    <w:link w:val="Heading8"/>
    <w:uiPriority w:val="9"/>
    <w:semiHidden/>
    <w:rsid w:val="00F8297D"/>
    <w:rPr>
      <w:rFonts w:asciiTheme="majorHAnsi" w:eastAsiaTheme="majorEastAsia" w:hAnsiTheme="majorHAnsi" w:cstheme="majorBidi"/>
      <w:color w:val="3A3737" w:themeColor="text1"/>
      <w:sz w:val="21"/>
      <w:szCs w:val="21"/>
      <w14:textFill>
        <w14:solidFill>
          <w14:schemeClr w14:val="tx1">
            <w14:lumMod w14:val="85000"/>
            <w14:lumOff w14:val="15000"/>
            <w14:lumMod w14:val="75000"/>
          </w14:schemeClr>
        </w14:solidFill>
      </w14:textFill>
    </w:rPr>
  </w:style>
  <w:style w:type="paragraph" w:styleId="BodyText">
    <w:name w:val="Body Text"/>
    <w:basedOn w:val="Normal"/>
    <w:link w:val="BodyTextChar"/>
    <w:uiPriority w:val="99"/>
    <w:unhideWhenUsed/>
    <w:rsid w:val="00F8297D"/>
    <w:pPr>
      <w:spacing w:after="120" w:line="240" w:lineRule="auto"/>
    </w:pPr>
    <w:rPr>
      <w:rFonts w:ascii="Calibri Light" w:eastAsia="Times New Roman" w:hAnsi="Calibri Light" w:cs="Times New Roman"/>
      <w:color w:val="auto"/>
      <w:szCs w:val="24"/>
    </w:rPr>
  </w:style>
  <w:style w:type="character" w:customStyle="1" w:styleId="BodyTextChar">
    <w:name w:val="Body Text Char"/>
    <w:basedOn w:val="DefaultParagraphFont"/>
    <w:link w:val="BodyText"/>
    <w:uiPriority w:val="99"/>
    <w:rsid w:val="00F8297D"/>
    <w:rPr>
      <w:rFonts w:ascii="Calibri Light" w:eastAsia="Times New Roman" w:hAnsi="Calibri Light" w:cs="Times New Roman"/>
      <w:sz w:val="22"/>
    </w:rPr>
  </w:style>
  <w:style w:type="paragraph" w:customStyle="1" w:styleId="TermsofAgreement">
    <w:name w:val="Terms of Agreement"/>
    <w:qFormat/>
    <w:rsid w:val="00383A6D"/>
    <w:pPr>
      <w:spacing w:before="120"/>
      <w:jc w:val="both"/>
    </w:pPr>
    <w:rPr>
      <w:rFonts w:ascii="Calibri Light" w:eastAsia="Times New Roman" w:hAnsi="Calibri Light" w:cs="Times New Roman"/>
      <w:b/>
      <w:sz w:val="17"/>
    </w:rPr>
  </w:style>
  <w:style w:type="paragraph" w:customStyle="1" w:styleId="head2b">
    <w:name w:val="head2b"/>
    <w:basedOn w:val="Heading2"/>
    <w:link w:val="head2bChar"/>
    <w:qFormat/>
    <w:rsid w:val="00383A6D"/>
    <w:pPr>
      <w:keepLines w:val="0"/>
      <w:spacing w:before="0" w:line="360" w:lineRule="auto"/>
    </w:pPr>
    <w:rPr>
      <w:rFonts w:ascii="Calibri Light" w:hAnsi="Calibri Light"/>
      <w:caps/>
      <w:color w:val="2B2929" w:themeColor="text1" w:themeShade="BF"/>
      <w:spacing w:val="30"/>
      <w:sz w:val="22"/>
      <w:szCs w:val="30"/>
    </w:rPr>
  </w:style>
  <w:style w:type="character" w:customStyle="1" w:styleId="head2bChar">
    <w:name w:val="head2b Char"/>
    <w:basedOn w:val="DefaultParagraphFont"/>
    <w:link w:val="head2b"/>
    <w:rsid w:val="00383A6D"/>
    <w:rPr>
      <w:rFonts w:ascii="Calibri Light" w:eastAsiaTheme="majorEastAsia" w:hAnsi="Calibri Light" w:cstheme="majorBidi"/>
      <w:caps/>
      <w:color w:val="3A3737" w:themeColor="text1"/>
      <w:spacing w:val="30"/>
      <w:sz w:val="22"/>
      <w:szCs w:val="30"/>
    </w:rPr>
  </w:style>
  <w:style w:type="character" w:styleId="Hyperlink">
    <w:name w:val="Hyperlink"/>
    <w:basedOn w:val="DefaultParagraphFont"/>
    <w:uiPriority w:val="99"/>
    <w:unhideWhenUsed/>
    <w:rsid w:val="00647710"/>
    <w:rPr>
      <w:rFonts w:ascii="Tw Cen MT" w:hAnsi="Tw Cen MT"/>
      <w:color w:val="90B0EC" w:themeColor="accent4"/>
      <w:sz w:val="22"/>
      <w:u w:val="single"/>
    </w:rPr>
  </w:style>
  <w:style w:type="paragraph" w:customStyle="1" w:styleId="ExperienceNormal">
    <w:name w:val="Experience Normal"/>
    <w:basedOn w:val="Normal"/>
    <w:qFormat/>
    <w:rsid w:val="0053614B"/>
    <w:pPr>
      <w:spacing w:line="240" w:lineRule="auto"/>
    </w:pPr>
    <w:rPr>
      <w:rFonts w:ascii="Calibri Light" w:eastAsia="Times New Roman" w:hAnsi="Calibri Light" w:cs="Times New Roman"/>
      <w:color w:val="auto"/>
      <w:szCs w:val="24"/>
    </w:rPr>
  </w:style>
  <w:style w:type="paragraph" w:customStyle="1" w:styleId="Exp-Client">
    <w:name w:val="Exp-Client"/>
    <w:basedOn w:val="Normal"/>
    <w:qFormat/>
    <w:rsid w:val="0053614B"/>
    <w:pPr>
      <w:tabs>
        <w:tab w:val="left" w:pos="720"/>
      </w:tabs>
      <w:spacing w:after="120" w:line="240" w:lineRule="auto"/>
      <w:outlineLvl w:val="2"/>
    </w:pPr>
    <w:rPr>
      <w:rFonts w:ascii="Calibri Light" w:eastAsiaTheme="majorEastAsia" w:hAnsi="Calibri Light" w:cstheme="majorBidi"/>
      <w:caps/>
      <w:color w:val="E7E6E6" w:themeColor="background2"/>
      <w:sz w:val="28"/>
      <w:szCs w:val="20"/>
    </w:rPr>
  </w:style>
  <w:style w:type="paragraph" w:customStyle="1" w:styleId="ExperienceInsetBulletred">
    <w:name w:val="Experience Inset Bullet red"/>
    <w:basedOn w:val="Normal"/>
    <w:rsid w:val="0053614B"/>
    <w:pPr>
      <w:numPr>
        <w:numId w:val="3"/>
      </w:numPr>
      <w:spacing w:after="240" w:line="240" w:lineRule="auto"/>
    </w:pPr>
    <w:rPr>
      <w:rFonts w:ascii="Calibri Light" w:eastAsia="Times New Roman" w:hAnsi="Calibri Light" w:cs="Times New Roman"/>
      <w:color w:val="auto"/>
      <w:szCs w:val="24"/>
    </w:rPr>
  </w:style>
  <w:style w:type="character" w:styleId="FollowedHyperlink">
    <w:name w:val="FollowedHyperlink"/>
    <w:basedOn w:val="DefaultParagraphFont"/>
    <w:uiPriority w:val="99"/>
    <w:semiHidden/>
    <w:unhideWhenUsed/>
    <w:rsid w:val="0053614B"/>
    <w:rPr>
      <w:color w:val="1D666E" w:themeColor="followedHyperlink"/>
      <w:u w:val="single"/>
    </w:rPr>
  </w:style>
  <w:style w:type="paragraph" w:customStyle="1" w:styleId="Hyperlink1">
    <w:name w:val="Hyperlink1"/>
    <w:basedOn w:val="Normal"/>
    <w:qFormat/>
    <w:rsid w:val="00647710"/>
    <w:rPr>
      <w:color w:val="90B0EC" w:themeColor="accent4"/>
      <w:u w:val="single"/>
    </w:rPr>
  </w:style>
  <w:style w:type="paragraph" w:customStyle="1" w:styleId="BasicParagraph">
    <w:name w:val="[Basic Paragraph]"/>
    <w:basedOn w:val="Normal"/>
    <w:uiPriority w:val="99"/>
    <w:rsid w:val="00647710"/>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CommentReference">
    <w:name w:val="annotation reference"/>
    <w:basedOn w:val="DefaultParagraphFont"/>
    <w:uiPriority w:val="99"/>
    <w:semiHidden/>
    <w:unhideWhenUsed/>
    <w:rsid w:val="00B351C1"/>
    <w:rPr>
      <w:sz w:val="16"/>
      <w:szCs w:val="16"/>
    </w:rPr>
  </w:style>
  <w:style w:type="paragraph" w:styleId="CommentText">
    <w:name w:val="annotation text"/>
    <w:basedOn w:val="Normal"/>
    <w:link w:val="CommentTextChar"/>
    <w:uiPriority w:val="99"/>
    <w:unhideWhenUsed/>
    <w:rsid w:val="00B351C1"/>
    <w:pPr>
      <w:spacing w:line="240" w:lineRule="auto"/>
    </w:pPr>
    <w:rPr>
      <w:szCs w:val="20"/>
    </w:rPr>
  </w:style>
  <w:style w:type="character" w:customStyle="1" w:styleId="CommentTextChar">
    <w:name w:val="Comment Text Char"/>
    <w:basedOn w:val="DefaultParagraphFont"/>
    <w:link w:val="CommentText"/>
    <w:uiPriority w:val="99"/>
    <w:rsid w:val="00B351C1"/>
    <w:rPr>
      <w:rFonts w:ascii="Tw Cen MT" w:hAnsi="Tw Cen MT"/>
      <w:color w:val="2B2929" w:themeColor="text1" w:themeShade="BF"/>
      <w:sz w:val="20"/>
      <w:szCs w:val="20"/>
    </w:rPr>
  </w:style>
  <w:style w:type="paragraph" w:styleId="BalloonText">
    <w:name w:val="Balloon Text"/>
    <w:basedOn w:val="Normal"/>
    <w:link w:val="BalloonTextChar"/>
    <w:uiPriority w:val="99"/>
    <w:semiHidden/>
    <w:unhideWhenUsed/>
    <w:rsid w:val="00B351C1"/>
    <w:pPr>
      <w:spacing w:line="240" w:lineRule="auto"/>
    </w:pPr>
    <w:rPr>
      <w:rFonts w:ascii="Times New Roman" w:hAnsi="Times New Roman" w:cs="Times New Roman"/>
      <w:sz w:val="18"/>
    </w:rPr>
  </w:style>
  <w:style w:type="character" w:customStyle="1" w:styleId="BalloonTextChar">
    <w:name w:val="Balloon Text Char"/>
    <w:basedOn w:val="DefaultParagraphFont"/>
    <w:link w:val="BalloonText"/>
    <w:uiPriority w:val="99"/>
    <w:semiHidden/>
    <w:rsid w:val="00B351C1"/>
    <w:rPr>
      <w:rFonts w:ascii="Times New Roman" w:hAnsi="Times New Roman" w:cs="Times New Roman"/>
      <w:color w:val="2B2929" w:themeColor="text1" w:themeShade="BF"/>
      <w:sz w:val="18"/>
      <w:szCs w:val="18"/>
    </w:rPr>
  </w:style>
  <w:style w:type="paragraph" w:styleId="CommentSubject">
    <w:name w:val="annotation subject"/>
    <w:basedOn w:val="CommentText"/>
    <w:next w:val="CommentText"/>
    <w:link w:val="CommentSubjectChar"/>
    <w:uiPriority w:val="99"/>
    <w:semiHidden/>
    <w:unhideWhenUsed/>
    <w:rsid w:val="008835B6"/>
    <w:rPr>
      <w:b/>
      <w:bCs/>
    </w:rPr>
  </w:style>
  <w:style w:type="character" w:customStyle="1" w:styleId="CommentSubjectChar">
    <w:name w:val="Comment Subject Char"/>
    <w:basedOn w:val="CommentTextChar"/>
    <w:link w:val="CommentSubject"/>
    <w:uiPriority w:val="99"/>
    <w:semiHidden/>
    <w:rsid w:val="008835B6"/>
    <w:rPr>
      <w:rFonts w:ascii="Tw Cen MT" w:hAnsi="Tw Cen MT"/>
      <w:b/>
      <w:bCs/>
      <w:color w:val="2B2929" w:themeColor="text1" w:themeShade="BF"/>
      <w:sz w:val="20"/>
      <w:szCs w:val="20"/>
    </w:rPr>
  </w:style>
  <w:style w:type="table" w:customStyle="1" w:styleId="TableStyle1">
    <w:name w:val="Table Style 1"/>
    <w:basedOn w:val="TableNormal"/>
    <w:uiPriority w:val="99"/>
    <w:rsid w:val="0015208E"/>
    <w:rPr>
      <w:rFonts w:ascii="Tw Cen MT" w:hAnsi="Tw Cen MT"/>
      <w:sz w:val="22"/>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4" w:type="dxa"/>
        <w:left w:w="115" w:type="dxa"/>
        <w:bottom w:w="14" w:type="dxa"/>
        <w:right w:w="115" w:type="dxa"/>
      </w:tblCellMar>
    </w:tblPr>
    <w:tcPr>
      <w:shd w:val="clear" w:color="auto" w:fill="F2F2F2" w:themeFill="background1" w:themeFillShade="F2"/>
      <w:vAlign w:val="center"/>
    </w:tcPr>
    <w:tblStylePr w:type="firstRow">
      <w:rPr>
        <w:rFonts w:ascii="@Yu Gothic UI" w:hAnsi="@Yu Gothic UI"/>
        <w:b/>
        <w:bCs/>
        <w:i w:val="0"/>
        <w:iCs w:val="0"/>
        <w:color w:val="FFFFFF" w:themeColor="background1"/>
        <w:sz w:val="24"/>
      </w:rPr>
      <w:tblPr/>
      <w:tcPr>
        <w:shd w:val="clear" w:color="auto" w:fill="D86D21" w:themeFill="accent2"/>
      </w:tcPr>
    </w:tblStylePr>
    <w:tblStylePr w:type="lastRow">
      <w:rPr>
        <w:rFonts w:ascii="@Yu Gothic UI" w:hAnsi="@Yu Gothic UI"/>
        <w:b/>
        <w:bCs/>
        <w:i w:val="0"/>
        <w:iCs w:val="0"/>
        <w:color w:val="FFFFFF" w:themeColor="background1"/>
        <w:sz w:val="22"/>
      </w:rPr>
      <w:tblPr/>
      <w:tcPr>
        <w:shd w:val="clear" w:color="auto" w:fill="808080" w:themeFill="background1" w:themeFillShade="80"/>
      </w:tcPr>
    </w:tblStylePr>
    <w:tblStylePr w:type="firstCol">
      <w:rPr>
        <w:rFonts w:ascii="@Yu Gothic UI" w:hAnsi="@Yu Gothic UI"/>
        <w:b/>
        <w:bCs/>
        <w:i w:val="0"/>
        <w:iCs w:val="0"/>
        <w:sz w:val="22"/>
      </w:rPr>
      <w:tblPr/>
      <w:tcPr>
        <w:shd w:val="clear" w:color="auto" w:fill="D8D6D6" w:themeFill="text1" w:themeFillTint="33"/>
      </w:tcPr>
    </w:tblStylePr>
  </w:style>
  <w:style w:type="paragraph" w:customStyle="1" w:styleId="ReportTItle">
    <w:name w:val="Report TItle"/>
    <w:basedOn w:val="Heading1"/>
    <w:next w:val="Subtitle2"/>
    <w:qFormat/>
    <w:rsid w:val="004E7C3D"/>
    <w:pPr>
      <w:spacing w:line="192" w:lineRule="auto"/>
      <w:jc w:val="right"/>
    </w:pPr>
    <w:rPr>
      <w:color w:val="FFFFFF" w:themeColor="background1"/>
      <w:spacing w:val="0"/>
      <w:sz w:val="190"/>
      <w:szCs w:val="190"/>
    </w:rPr>
  </w:style>
  <w:style w:type="paragraph" w:customStyle="1" w:styleId="ReportTitle0">
    <w:name w:val="Report Title"/>
    <w:basedOn w:val="Heading1"/>
    <w:next w:val="Subtitle2"/>
    <w:qFormat/>
    <w:rsid w:val="004E7C3D"/>
    <w:pPr>
      <w:spacing w:line="192" w:lineRule="auto"/>
      <w:jc w:val="right"/>
    </w:pPr>
    <w:rPr>
      <w:color w:val="FFFFFF" w:themeColor="background1"/>
      <w:spacing w:val="0"/>
      <w:sz w:val="190"/>
      <w:szCs w:val="190"/>
    </w:rPr>
  </w:style>
  <w:style w:type="paragraph" w:customStyle="1" w:styleId="Footer1">
    <w:name w:val="Footer1"/>
    <w:basedOn w:val="Normal"/>
    <w:qFormat/>
    <w:rsid w:val="004E7C3D"/>
    <w:pPr>
      <w:tabs>
        <w:tab w:val="left" w:pos="720"/>
        <w:tab w:val="left" w:pos="9270"/>
        <w:tab w:val="left" w:pos="11070"/>
      </w:tabs>
      <w:spacing w:line="276" w:lineRule="auto"/>
      <w:ind w:left="-450" w:right="-90" w:firstLine="1170"/>
    </w:pPr>
    <w:rPr>
      <w:rFonts w:ascii="Calibri Light" w:eastAsia="Calibri" w:hAnsi="Calibri Light" w:cs="Times New Roman"/>
      <w:caps/>
      <w:noProof/>
      <w:color w:val="3A3737" w:themeColor="text1"/>
      <w:spacing w:val="10"/>
      <w:sz w:val="19"/>
      <w:szCs w:val="22"/>
    </w:rPr>
  </w:style>
  <w:style w:type="character" w:customStyle="1" w:styleId="Heading5Char">
    <w:name w:val="Heading 5 Char"/>
    <w:basedOn w:val="DefaultParagraphFont"/>
    <w:link w:val="Heading5"/>
    <w:uiPriority w:val="9"/>
    <w:semiHidden/>
    <w:rsid w:val="00B73682"/>
    <w:rPr>
      <w:rFonts w:asciiTheme="majorHAnsi" w:eastAsiaTheme="majorEastAsia" w:hAnsiTheme="majorHAnsi" w:cstheme="majorBidi"/>
      <w:color w:val="154C52" w:themeColor="accent1" w:themeShade="BF"/>
      <w:sz w:val="22"/>
      <w:szCs w:val="21"/>
    </w:rPr>
  </w:style>
  <w:style w:type="paragraph" w:customStyle="1" w:styleId="Caption1">
    <w:name w:val="Caption1"/>
    <w:basedOn w:val="Normal"/>
    <w:rsid w:val="00FF27A4"/>
    <w:pPr>
      <w:spacing w:before="60" w:line="240" w:lineRule="auto"/>
      <w:ind w:left="720"/>
    </w:pPr>
    <w:rPr>
      <w:rFonts w:asciiTheme="majorHAnsi" w:eastAsia="Times New Roman" w:hAnsiTheme="majorHAnsi" w:cs="Times New Roman"/>
      <w:i/>
      <w:noProof/>
      <w:color w:val="3A3737" w:themeColor="text1"/>
    </w:rPr>
  </w:style>
  <w:style w:type="paragraph" w:styleId="FootnoteText">
    <w:name w:val="footnote text"/>
    <w:basedOn w:val="Normal"/>
    <w:link w:val="FootnoteTextChar"/>
    <w:uiPriority w:val="99"/>
    <w:unhideWhenUsed/>
    <w:rsid w:val="00D14941"/>
    <w:pPr>
      <w:spacing w:after="120" w:line="192" w:lineRule="auto"/>
      <w:jc w:val="left"/>
    </w:pPr>
    <w:rPr>
      <w:sz w:val="16"/>
      <w:szCs w:val="22"/>
    </w:rPr>
  </w:style>
  <w:style w:type="character" w:customStyle="1" w:styleId="FootnoteTextChar">
    <w:name w:val="Footnote Text Char"/>
    <w:basedOn w:val="DefaultParagraphFont"/>
    <w:link w:val="FootnoteText"/>
    <w:uiPriority w:val="99"/>
    <w:rsid w:val="00D14941"/>
    <w:rPr>
      <w:rFonts w:ascii="Verdana" w:hAnsi="Verdana"/>
      <w:color w:val="2B2929" w:themeColor="text1" w:themeShade="BF"/>
      <w:sz w:val="16"/>
      <w:szCs w:val="22"/>
    </w:rPr>
  </w:style>
  <w:style w:type="character" w:styleId="FootnoteReference">
    <w:name w:val="footnote reference"/>
    <w:basedOn w:val="DefaultParagraphFont"/>
    <w:uiPriority w:val="99"/>
    <w:unhideWhenUsed/>
    <w:rsid w:val="001E5252"/>
    <w:rPr>
      <w:vertAlign w:val="superscript"/>
    </w:rPr>
  </w:style>
  <w:style w:type="table" w:customStyle="1" w:styleId="TableGrid1">
    <w:name w:val="Table Grid1"/>
    <w:basedOn w:val="TableNormal"/>
    <w:next w:val="TableGrid"/>
    <w:uiPriority w:val="39"/>
    <w:rsid w:val="006C3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E4299C"/>
    <w:tblPr>
      <w:tblStyleRowBandSize w:val="1"/>
      <w:tblStyleColBandSize w:val="1"/>
      <w:tblBorders>
        <w:top w:val="single" w:sz="4" w:space="0" w:color="EAA677" w:themeColor="accent2" w:themeTint="99"/>
        <w:left w:val="single" w:sz="4" w:space="0" w:color="EAA677" w:themeColor="accent2" w:themeTint="99"/>
        <w:bottom w:val="single" w:sz="4" w:space="0" w:color="EAA677" w:themeColor="accent2" w:themeTint="99"/>
        <w:right w:val="single" w:sz="4" w:space="0" w:color="EAA677" w:themeColor="accent2" w:themeTint="99"/>
        <w:insideH w:val="single" w:sz="4" w:space="0" w:color="EAA677" w:themeColor="accent2" w:themeTint="99"/>
        <w:insideV w:val="single" w:sz="4" w:space="0" w:color="EAA677" w:themeColor="accent2" w:themeTint="99"/>
      </w:tblBorders>
    </w:tblPr>
    <w:tblStylePr w:type="firstRow">
      <w:rPr>
        <w:b/>
        <w:bCs/>
        <w:color w:val="FFFFFF" w:themeColor="background1"/>
      </w:rPr>
      <w:tblPr/>
      <w:tcPr>
        <w:tcBorders>
          <w:top w:val="single" w:sz="4" w:space="0" w:color="D86D21" w:themeColor="accent2"/>
          <w:left w:val="single" w:sz="4" w:space="0" w:color="D86D21" w:themeColor="accent2"/>
          <w:bottom w:val="single" w:sz="4" w:space="0" w:color="D86D21" w:themeColor="accent2"/>
          <w:right w:val="single" w:sz="4" w:space="0" w:color="D86D21" w:themeColor="accent2"/>
          <w:insideH w:val="nil"/>
          <w:insideV w:val="nil"/>
        </w:tcBorders>
        <w:shd w:val="clear" w:color="auto" w:fill="D86D21" w:themeFill="accent2"/>
      </w:tcPr>
    </w:tblStylePr>
    <w:tblStylePr w:type="lastRow">
      <w:rPr>
        <w:b/>
        <w:bCs/>
      </w:rPr>
      <w:tblPr/>
      <w:tcPr>
        <w:tcBorders>
          <w:top w:val="double" w:sz="4" w:space="0" w:color="D86D21" w:themeColor="accent2"/>
        </w:tcBorders>
      </w:tcPr>
    </w:tblStylePr>
    <w:tblStylePr w:type="firstCol">
      <w:rPr>
        <w:b/>
        <w:bCs/>
      </w:rPr>
    </w:tblStylePr>
    <w:tblStylePr w:type="lastCol">
      <w:rPr>
        <w:b/>
        <w:bCs/>
      </w:rPr>
    </w:tblStylePr>
    <w:tblStylePr w:type="band1Vert">
      <w:tblPr/>
      <w:tcPr>
        <w:shd w:val="clear" w:color="auto" w:fill="F8E1D1" w:themeFill="accent2" w:themeFillTint="33"/>
      </w:tcPr>
    </w:tblStylePr>
    <w:tblStylePr w:type="band1Horz">
      <w:tblPr/>
      <w:tcPr>
        <w:shd w:val="clear" w:color="auto" w:fill="F8E1D1" w:themeFill="accent2" w:themeFillTint="33"/>
      </w:tcPr>
    </w:tblStylePr>
  </w:style>
  <w:style w:type="character" w:styleId="UnresolvedMention">
    <w:name w:val="Unresolved Mention"/>
    <w:basedOn w:val="DefaultParagraphFont"/>
    <w:uiPriority w:val="99"/>
    <w:rsid w:val="003B7203"/>
    <w:rPr>
      <w:color w:val="605E5C"/>
      <w:shd w:val="clear" w:color="auto" w:fill="E1DFDD"/>
    </w:rPr>
  </w:style>
  <w:style w:type="character" w:customStyle="1" w:styleId="Heading3Char">
    <w:name w:val="Heading 3 Char"/>
    <w:basedOn w:val="DefaultParagraphFont"/>
    <w:link w:val="Heading3"/>
    <w:uiPriority w:val="9"/>
    <w:rsid w:val="00CB274D"/>
    <w:rPr>
      <w:rFonts w:asciiTheme="majorHAnsi" w:eastAsiaTheme="majorEastAsia" w:hAnsiTheme="majorHAnsi" w:cstheme="majorBidi"/>
      <w:color w:val="0E3236" w:themeColor="accent1" w:themeShade="7F"/>
    </w:rPr>
  </w:style>
  <w:style w:type="table" w:styleId="GridTable4-Accent6">
    <w:name w:val="Grid Table 4 Accent 6"/>
    <w:basedOn w:val="TableNormal"/>
    <w:uiPriority w:val="49"/>
    <w:rsid w:val="00CB274D"/>
    <w:rPr>
      <w:rFonts w:eastAsia="Times New Roman"/>
    </w:rPr>
    <w:tblPr>
      <w:tblStyleRowBandSize w:val="1"/>
      <w:tblStyleColBandSize w:val="1"/>
      <w:tblBorders>
        <w:top w:val="single" w:sz="4" w:space="0" w:color="B5D0D0" w:themeColor="accent6" w:themeTint="99"/>
        <w:left w:val="single" w:sz="4" w:space="0" w:color="B5D0D0" w:themeColor="accent6" w:themeTint="99"/>
        <w:bottom w:val="single" w:sz="4" w:space="0" w:color="B5D0D0" w:themeColor="accent6" w:themeTint="99"/>
        <w:right w:val="single" w:sz="4" w:space="0" w:color="B5D0D0" w:themeColor="accent6" w:themeTint="99"/>
        <w:insideH w:val="single" w:sz="4" w:space="0" w:color="B5D0D0" w:themeColor="accent6" w:themeTint="99"/>
        <w:insideV w:val="single" w:sz="4" w:space="0" w:color="B5D0D0" w:themeColor="accent6" w:themeTint="99"/>
      </w:tblBorders>
    </w:tblPr>
    <w:tblStylePr w:type="firstRow">
      <w:rPr>
        <w:b/>
        <w:bCs/>
        <w:color w:val="FFFFFF" w:themeColor="background1"/>
      </w:rPr>
      <w:tblPr/>
      <w:tcPr>
        <w:tcBorders>
          <w:top w:val="single" w:sz="4" w:space="0" w:color="84B2B2" w:themeColor="accent6"/>
          <w:left w:val="single" w:sz="4" w:space="0" w:color="84B2B2" w:themeColor="accent6"/>
          <w:bottom w:val="single" w:sz="4" w:space="0" w:color="84B2B2" w:themeColor="accent6"/>
          <w:right w:val="single" w:sz="4" w:space="0" w:color="84B2B2" w:themeColor="accent6"/>
          <w:insideH w:val="nil"/>
          <w:insideV w:val="nil"/>
        </w:tcBorders>
        <w:shd w:val="clear" w:color="auto" w:fill="84B2B2" w:themeFill="accent6"/>
      </w:tcPr>
    </w:tblStylePr>
    <w:tblStylePr w:type="lastRow">
      <w:rPr>
        <w:b/>
        <w:bCs/>
      </w:rPr>
      <w:tblPr/>
      <w:tcPr>
        <w:tcBorders>
          <w:top w:val="double" w:sz="4" w:space="0" w:color="84B2B2" w:themeColor="accent6"/>
        </w:tcBorders>
      </w:tcPr>
    </w:tblStylePr>
    <w:tblStylePr w:type="firstCol">
      <w:rPr>
        <w:b/>
        <w:bCs/>
      </w:rPr>
    </w:tblStylePr>
    <w:tblStylePr w:type="lastCol">
      <w:rPr>
        <w:b/>
        <w:bCs/>
      </w:rPr>
    </w:tblStylePr>
    <w:tblStylePr w:type="band1Vert">
      <w:tblPr/>
      <w:tcPr>
        <w:shd w:val="clear" w:color="auto" w:fill="E6EFEF" w:themeFill="accent6" w:themeFillTint="33"/>
      </w:tcPr>
    </w:tblStylePr>
    <w:tblStylePr w:type="band1Horz">
      <w:tblPr/>
      <w:tcPr>
        <w:shd w:val="clear" w:color="auto" w:fill="E6EFEF" w:themeFill="accent6" w:themeFillTint="33"/>
      </w:tcPr>
    </w:tblStylePr>
  </w:style>
  <w:style w:type="table" w:styleId="GridTable5Dark">
    <w:name w:val="Grid Table 5 Dark"/>
    <w:basedOn w:val="TableNormal"/>
    <w:uiPriority w:val="50"/>
    <w:rsid w:val="000A17E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D6D6"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A3737"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A3737"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A3737"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A3737" w:themeFill="text1"/>
      </w:tcPr>
    </w:tblStylePr>
    <w:tblStylePr w:type="band1Vert">
      <w:tblPr/>
      <w:tcPr>
        <w:shd w:val="clear" w:color="auto" w:fill="B1ADAD" w:themeFill="text1" w:themeFillTint="66"/>
      </w:tcPr>
    </w:tblStylePr>
    <w:tblStylePr w:type="band1Horz">
      <w:tblPr/>
      <w:tcPr>
        <w:shd w:val="clear" w:color="auto" w:fill="B1ADAD" w:themeFill="text1" w:themeFillTint="66"/>
      </w:tcPr>
    </w:tblStylePr>
  </w:style>
  <w:style w:type="table" w:styleId="GridTable5Dark-Accent1">
    <w:name w:val="Grid Table 5 Dark Accent 1"/>
    <w:basedOn w:val="TableNormal"/>
    <w:uiPriority w:val="50"/>
    <w:rsid w:val="000A17E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B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D666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D666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D666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D666E" w:themeFill="accent1"/>
      </w:tcPr>
    </w:tblStylePr>
    <w:tblStylePr w:type="band1Vert">
      <w:tblPr/>
      <w:tcPr>
        <w:shd w:val="clear" w:color="auto" w:fill="89D7E0" w:themeFill="accent1" w:themeFillTint="66"/>
      </w:tcPr>
    </w:tblStylePr>
    <w:tblStylePr w:type="band1Horz">
      <w:tblPr/>
      <w:tcPr>
        <w:shd w:val="clear" w:color="auto" w:fill="89D7E0" w:themeFill="accent1" w:themeFillTint="66"/>
      </w:tcPr>
    </w:tblStylePr>
  </w:style>
  <w:style w:type="table" w:styleId="GridTable5Dark-Accent3">
    <w:name w:val="Grid Table 5 Dark Accent 3"/>
    <w:basedOn w:val="TableNormal"/>
    <w:uiPriority w:val="50"/>
    <w:rsid w:val="000A17E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1C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B1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B1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B1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B100" w:themeFill="accent3"/>
      </w:tcPr>
    </w:tblStylePr>
    <w:tblStylePr w:type="band1Vert">
      <w:tblPr/>
      <w:tcPr>
        <w:shd w:val="clear" w:color="auto" w:fill="FFE391" w:themeFill="accent3" w:themeFillTint="66"/>
      </w:tcPr>
    </w:tblStylePr>
    <w:tblStylePr w:type="band1Horz">
      <w:tblPr/>
      <w:tcPr>
        <w:shd w:val="clear" w:color="auto" w:fill="FFE391" w:themeFill="accent3" w:themeFillTint="66"/>
      </w:tcPr>
    </w:tblStylePr>
  </w:style>
  <w:style w:type="paragraph" w:styleId="Revision">
    <w:name w:val="Revision"/>
    <w:hidden/>
    <w:uiPriority w:val="99"/>
    <w:semiHidden/>
    <w:rsid w:val="005B136D"/>
    <w:rPr>
      <w:rFonts w:ascii="Tw Cen MT" w:hAnsi="Tw Cen MT"/>
      <w:color w:val="2B2929" w:themeColor="text1" w:themeShade="BF"/>
      <w:sz w:val="22"/>
      <w:szCs w:val="21"/>
    </w:rPr>
  </w:style>
  <w:style w:type="character" w:customStyle="1" w:styleId="Heading4Char">
    <w:name w:val="Heading 4 Char"/>
    <w:basedOn w:val="DefaultParagraphFont"/>
    <w:link w:val="Heading4"/>
    <w:uiPriority w:val="9"/>
    <w:rsid w:val="004E7DA5"/>
    <w:rPr>
      <w:rFonts w:asciiTheme="majorHAnsi" w:eastAsiaTheme="majorEastAsia" w:hAnsiTheme="majorHAnsi" w:cstheme="majorBidi"/>
      <w:i/>
      <w:iCs/>
      <w:color w:val="154C52" w:themeColor="accent1" w:themeShade="BF"/>
      <w:sz w:val="22"/>
      <w:szCs w:val="21"/>
    </w:rPr>
  </w:style>
  <w:style w:type="paragraph" w:styleId="TOC1">
    <w:name w:val="toc 1"/>
    <w:basedOn w:val="Normal"/>
    <w:next w:val="Normal"/>
    <w:autoRedefine/>
    <w:uiPriority w:val="39"/>
    <w:unhideWhenUsed/>
    <w:rsid w:val="00BD50AA"/>
    <w:pPr>
      <w:tabs>
        <w:tab w:val="right" w:leader="dot" w:pos="10070"/>
      </w:tabs>
      <w:spacing w:after="100"/>
      <w:ind w:left="220"/>
    </w:pPr>
  </w:style>
  <w:style w:type="paragraph" w:styleId="Caption">
    <w:name w:val="caption"/>
    <w:basedOn w:val="Normal"/>
    <w:next w:val="Normal"/>
    <w:uiPriority w:val="35"/>
    <w:unhideWhenUsed/>
    <w:qFormat/>
    <w:rsid w:val="004E7DA5"/>
    <w:pPr>
      <w:spacing w:after="200" w:line="240" w:lineRule="auto"/>
    </w:pPr>
    <w:rPr>
      <w:i/>
      <w:iCs/>
      <w:color w:val="002A7B" w:themeColor="text2"/>
      <w:sz w:val="18"/>
    </w:rPr>
  </w:style>
  <w:style w:type="character" w:styleId="Mention">
    <w:name w:val="Mention"/>
    <w:basedOn w:val="DefaultParagraphFont"/>
    <w:uiPriority w:val="99"/>
    <w:rsid w:val="004E7DA5"/>
    <w:rPr>
      <w:color w:val="2B579A"/>
      <w:shd w:val="clear" w:color="auto" w:fill="E1DFDD"/>
    </w:rPr>
  </w:style>
  <w:style w:type="paragraph" w:customStyle="1" w:styleId="CaptionFigures1">
    <w:name w:val="Caption: Figures1"/>
    <w:basedOn w:val="Normal"/>
    <w:next w:val="Normal"/>
    <w:unhideWhenUsed/>
    <w:qFormat/>
    <w:rsid w:val="004E7DA5"/>
    <w:pPr>
      <w:spacing w:before="120" w:after="120" w:line="240" w:lineRule="auto"/>
      <w:jc w:val="center"/>
    </w:pPr>
    <w:rPr>
      <w:iCs/>
      <w:color w:val="44546A"/>
    </w:rPr>
  </w:style>
  <w:style w:type="character" w:customStyle="1" w:styleId="normaltextrun">
    <w:name w:val="normaltextrun"/>
    <w:basedOn w:val="DefaultParagraphFont"/>
    <w:rsid w:val="004E7DA5"/>
  </w:style>
  <w:style w:type="character" w:customStyle="1" w:styleId="eop">
    <w:name w:val="eop"/>
    <w:basedOn w:val="DefaultParagraphFont"/>
    <w:rsid w:val="004E7DA5"/>
  </w:style>
  <w:style w:type="character" w:customStyle="1" w:styleId="apple-converted-space">
    <w:name w:val="apple-converted-space"/>
    <w:basedOn w:val="DefaultParagraphFont"/>
    <w:rsid w:val="004E7DA5"/>
  </w:style>
  <w:style w:type="paragraph" w:customStyle="1" w:styleId="paragraph">
    <w:name w:val="paragraph"/>
    <w:basedOn w:val="Normal"/>
    <w:rsid w:val="004E7DA5"/>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ListTable3-Accent3">
    <w:name w:val="List Table 3 Accent 3"/>
    <w:basedOn w:val="TableNormal"/>
    <w:uiPriority w:val="48"/>
    <w:rsid w:val="004E7DA5"/>
    <w:tblPr>
      <w:tblStyleRowBandSize w:val="1"/>
      <w:tblStyleColBandSize w:val="1"/>
      <w:tblBorders>
        <w:top w:val="single" w:sz="4" w:space="0" w:color="EDB100" w:themeColor="accent3"/>
        <w:left w:val="single" w:sz="4" w:space="0" w:color="EDB100" w:themeColor="accent3"/>
        <w:bottom w:val="single" w:sz="4" w:space="0" w:color="EDB100" w:themeColor="accent3"/>
        <w:right w:val="single" w:sz="4" w:space="0" w:color="EDB100" w:themeColor="accent3"/>
      </w:tblBorders>
    </w:tblPr>
    <w:tblStylePr w:type="firstRow">
      <w:rPr>
        <w:b/>
        <w:bCs/>
        <w:color w:val="FFFFFF" w:themeColor="background1"/>
      </w:rPr>
      <w:tblPr/>
      <w:tcPr>
        <w:shd w:val="clear" w:color="auto" w:fill="EDB100" w:themeFill="accent3"/>
      </w:tcPr>
    </w:tblStylePr>
    <w:tblStylePr w:type="lastRow">
      <w:rPr>
        <w:b/>
        <w:bCs/>
      </w:rPr>
      <w:tblPr/>
      <w:tcPr>
        <w:tcBorders>
          <w:top w:val="double" w:sz="4" w:space="0" w:color="EDB10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B100" w:themeColor="accent3"/>
          <w:right w:val="single" w:sz="4" w:space="0" w:color="EDB100" w:themeColor="accent3"/>
        </w:tcBorders>
      </w:tcPr>
    </w:tblStylePr>
    <w:tblStylePr w:type="band1Horz">
      <w:tblPr/>
      <w:tcPr>
        <w:tcBorders>
          <w:top w:val="single" w:sz="4" w:space="0" w:color="EDB100" w:themeColor="accent3"/>
          <w:bottom w:val="single" w:sz="4" w:space="0" w:color="EDB10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B100" w:themeColor="accent3"/>
          <w:left w:val="nil"/>
        </w:tcBorders>
      </w:tcPr>
    </w:tblStylePr>
    <w:tblStylePr w:type="swCell">
      <w:tblPr/>
      <w:tcPr>
        <w:tcBorders>
          <w:top w:val="double" w:sz="4" w:space="0" w:color="EDB100" w:themeColor="accent3"/>
          <w:right w:val="nil"/>
        </w:tcBorders>
      </w:tcPr>
    </w:tblStylePr>
  </w:style>
  <w:style w:type="table" w:styleId="GridTable2-Accent2">
    <w:name w:val="Grid Table 2 Accent 2"/>
    <w:basedOn w:val="TableNormal"/>
    <w:uiPriority w:val="47"/>
    <w:rsid w:val="004E7DA5"/>
    <w:tblPr>
      <w:tblStyleRowBandSize w:val="1"/>
      <w:tblStyleColBandSize w:val="1"/>
      <w:tblBorders>
        <w:top w:val="single" w:sz="2" w:space="0" w:color="EAA677" w:themeColor="accent2" w:themeTint="99"/>
        <w:bottom w:val="single" w:sz="2" w:space="0" w:color="EAA677" w:themeColor="accent2" w:themeTint="99"/>
        <w:insideH w:val="single" w:sz="2" w:space="0" w:color="EAA677" w:themeColor="accent2" w:themeTint="99"/>
        <w:insideV w:val="single" w:sz="2" w:space="0" w:color="EAA677" w:themeColor="accent2" w:themeTint="99"/>
      </w:tblBorders>
    </w:tblPr>
    <w:tblStylePr w:type="firstRow">
      <w:rPr>
        <w:b/>
        <w:bCs/>
      </w:rPr>
      <w:tblPr/>
      <w:tcPr>
        <w:tcBorders>
          <w:top w:val="nil"/>
          <w:bottom w:val="single" w:sz="12" w:space="0" w:color="EAA677" w:themeColor="accent2" w:themeTint="99"/>
          <w:insideH w:val="nil"/>
          <w:insideV w:val="nil"/>
        </w:tcBorders>
        <w:shd w:val="clear" w:color="auto" w:fill="FFFFFF" w:themeFill="background1"/>
      </w:tcPr>
    </w:tblStylePr>
    <w:tblStylePr w:type="lastRow">
      <w:rPr>
        <w:b/>
        <w:bCs/>
      </w:rPr>
      <w:tblPr/>
      <w:tcPr>
        <w:tcBorders>
          <w:top w:val="double" w:sz="2" w:space="0" w:color="EAA6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E1D1" w:themeFill="accent2" w:themeFillTint="33"/>
      </w:tcPr>
    </w:tblStylePr>
    <w:tblStylePr w:type="band1Horz">
      <w:tblPr/>
      <w:tcPr>
        <w:shd w:val="clear" w:color="auto" w:fill="F8E1D1" w:themeFill="accent2" w:themeFillTint="33"/>
      </w:tcPr>
    </w:tblStylePr>
  </w:style>
  <w:style w:type="paragraph" w:styleId="NormalWeb">
    <w:name w:val="Normal (Web)"/>
    <w:basedOn w:val="Normal"/>
    <w:uiPriority w:val="99"/>
    <w:semiHidden/>
    <w:unhideWhenUsed/>
    <w:rsid w:val="004E7DA5"/>
    <w:pPr>
      <w:spacing w:before="100" w:beforeAutospacing="1" w:after="100" w:afterAutospacing="1" w:line="240" w:lineRule="auto"/>
    </w:pPr>
    <w:rPr>
      <w:rFonts w:ascii="Times New Roman" w:eastAsia="Times New Roman" w:hAnsi="Times New Roman" w:cs="Times New Roman"/>
      <w:color w:val="auto"/>
      <w:sz w:val="24"/>
      <w:szCs w:val="24"/>
      <w:lang w:eastAsia="zh-TW"/>
    </w:rPr>
  </w:style>
  <w:style w:type="paragraph" w:styleId="NoSpacing">
    <w:name w:val="No Spacing"/>
    <w:uiPriority w:val="1"/>
    <w:qFormat/>
    <w:rsid w:val="004E7DA5"/>
    <w:rPr>
      <w:rFonts w:ascii="Tw Cen MT" w:hAnsi="Tw Cen MT"/>
      <w:color w:val="2B2929" w:themeColor="text1" w:themeShade="BF"/>
      <w:sz w:val="22"/>
      <w:szCs w:val="21"/>
    </w:rPr>
  </w:style>
  <w:style w:type="character" w:customStyle="1" w:styleId="e24kjd">
    <w:name w:val="e24kjd"/>
    <w:basedOn w:val="DefaultParagraphFont"/>
    <w:rsid w:val="004E7DA5"/>
  </w:style>
  <w:style w:type="paragraph" w:styleId="TOCHeading">
    <w:name w:val="TOC Heading"/>
    <w:basedOn w:val="Heading1"/>
    <w:next w:val="Normal"/>
    <w:uiPriority w:val="39"/>
    <w:unhideWhenUsed/>
    <w:qFormat/>
    <w:rsid w:val="00DF299E"/>
    <w:pPr>
      <w:keepNext/>
      <w:keepLines/>
      <w:spacing w:before="240" w:line="259" w:lineRule="auto"/>
      <w:outlineLvl w:val="9"/>
    </w:pPr>
    <w:rPr>
      <w:rFonts w:asciiTheme="majorHAnsi" w:eastAsiaTheme="majorEastAsia" w:hAnsiTheme="majorHAnsi" w:cstheme="majorBidi"/>
      <w:caps/>
      <w:color w:val="154C52" w:themeColor="accent1" w:themeShade="BF"/>
      <w:spacing w:val="0"/>
      <w:sz w:val="32"/>
      <w:szCs w:val="32"/>
      <w:lang w:eastAsia="zh-TW"/>
    </w:rPr>
  </w:style>
  <w:style w:type="table" w:styleId="GridTable4-Accent3">
    <w:name w:val="Grid Table 4 Accent 3"/>
    <w:basedOn w:val="TableNormal"/>
    <w:uiPriority w:val="49"/>
    <w:rsid w:val="00DF299E"/>
    <w:rPr>
      <w:rFonts w:ascii="Times New Roman" w:eastAsia="Times New Roman" w:hAnsi="Times New Roman" w:cs="Times New Roman"/>
      <w:sz w:val="20"/>
      <w:szCs w:val="20"/>
    </w:rPr>
    <w:tblPr>
      <w:tblStyleRowBandSize w:val="1"/>
      <w:tblStyleColBandSize w:val="1"/>
      <w:tblBorders>
        <w:top w:val="single" w:sz="4" w:space="0" w:color="FFD55B" w:themeColor="accent3" w:themeTint="99"/>
        <w:left w:val="single" w:sz="4" w:space="0" w:color="FFD55B" w:themeColor="accent3" w:themeTint="99"/>
        <w:bottom w:val="single" w:sz="4" w:space="0" w:color="FFD55B" w:themeColor="accent3" w:themeTint="99"/>
        <w:right w:val="single" w:sz="4" w:space="0" w:color="FFD55B" w:themeColor="accent3" w:themeTint="99"/>
        <w:insideH w:val="single" w:sz="4" w:space="0" w:color="FFD55B" w:themeColor="accent3" w:themeTint="99"/>
        <w:insideV w:val="single" w:sz="4" w:space="0" w:color="FFD55B" w:themeColor="accent3" w:themeTint="99"/>
      </w:tblBorders>
    </w:tblPr>
    <w:tblStylePr w:type="firstRow">
      <w:rPr>
        <w:b/>
        <w:bCs/>
        <w:color w:val="FFFFFF" w:themeColor="background1"/>
      </w:rPr>
      <w:tblPr/>
      <w:tcPr>
        <w:tcBorders>
          <w:top w:val="single" w:sz="4" w:space="0" w:color="EDB100" w:themeColor="accent3"/>
          <w:left w:val="single" w:sz="4" w:space="0" w:color="EDB100" w:themeColor="accent3"/>
          <w:bottom w:val="single" w:sz="4" w:space="0" w:color="EDB100" w:themeColor="accent3"/>
          <w:right w:val="single" w:sz="4" w:space="0" w:color="EDB100" w:themeColor="accent3"/>
          <w:insideH w:val="nil"/>
          <w:insideV w:val="nil"/>
        </w:tcBorders>
        <w:shd w:val="clear" w:color="auto" w:fill="EDB100" w:themeFill="accent3"/>
      </w:tcPr>
    </w:tblStylePr>
    <w:tblStylePr w:type="lastRow">
      <w:rPr>
        <w:b/>
        <w:bCs/>
      </w:rPr>
      <w:tblPr/>
      <w:tcPr>
        <w:tcBorders>
          <w:top w:val="double" w:sz="4" w:space="0" w:color="EDB100" w:themeColor="accent3"/>
        </w:tcBorders>
      </w:tcPr>
    </w:tblStylePr>
    <w:tblStylePr w:type="firstCol">
      <w:rPr>
        <w:b/>
        <w:bCs/>
      </w:rPr>
    </w:tblStylePr>
    <w:tblStylePr w:type="lastCol">
      <w:rPr>
        <w:b/>
        <w:bCs/>
      </w:rPr>
    </w:tblStylePr>
    <w:tblStylePr w:type="band1Vert">
      <w:tblPr/>
      <w:tcPr>
        <w:shd w:val="clear" w:color="auto" w:fill="FFF1C8" w:themeFill="accent3" w:themeFillTint="33"/>
      </w:tcPr>
    </w:tblStylePr>
    <w:tblStylePr w:type="band1Horz">
      <w:tblPr/>
      <w:tcPr>
        <w:shd w:val="clear" w:color="auto" w:fill="FFF1C8" w:themeFill="accent3" w:themeFillTint="33"/>
      </w:tcPr>
    </w:tblStylePr>
  </w:style>
  <w:style w:type="character" w:styleId="SubtleEmphasis">
    <w:name w:val="Subtle Emphasis"/>
    <w:aliases w:val="Caption/Table"/>
    <w:basedOn w:val="DefaultParagraphFont"/>
    <w:uiPriority w:val="19"/>
    <w:qFormat/>
    <w:rsid w:val="00DF299E"/>
    <w:rPr>
      <w:rFonts w:ascii="Tw Cen MT" w:hAnsi="Tw Cen MT"/>
      <w:i/>
      <w:iCs/>
      <w:color w:val="auto"/>
      <w:sz w:val="20"/>
    </w:rPr>
  </w:style>
  <w:style w:type="paragraph" w:customStyle="1" w:styleId="TableTask">
    <w:name w:val="Table:Task"/>
    <w:basedOn w:val="Normal"/>
    <w:qFormat/>
    <w:rsid w:val="00DF299E"/>
    <w:pPr>
      <w:keepNext/>
      <w:spacing w:before="120" w:after="120" w:line="240" w:lineRule="auto"/>
      <w:ind w:left="360" w:hanging="360"/>
      <w:jc w:val="center"/>
    </w:pPr>
    <w:rPr>
      <w:rFonts w:ascii="Calibri" w:eastAsia="Times New Roman" w:hAnsi="Calibri" w:cs="Myriad-Italic"/>
      <w:b/>
      <w:iCs/>
      <w:color w:val="231F20"/>
      <w:sz w:val="24"/>
      <w:szCs w:val="24"/>
      <w:lang w:eastAsia="zh-TW"/>
    </w:rPr>
  </w:style>
  <w:style w:type="table" w:styleId="ListTable2-Accent3">
    <w:name w:val="List Table 2 Accent 3"/>
    <w:basedOn w:val="TableNormal"/>
    <w:uiPriority w:val="47"/>
    <w:rsid w:val="00DF299E"/>
    <w:rPr>
      <w:rFonts w:ascii="Times New Roman" w:eastAsia="Times New Roman" w:hAnsi="Times New Roman" w:cs="Times New Roman"/>
      <w:sz w:val="20"/>
      <w:szCs w:val="20"/>
    </w:rPr>
    <w:tblPr>
      <w:tblStyleRowBandSize w:val="1"/>
      <w:tblStyleColBandSize w:val="1"/>
      <w:tblBorders>
        <w:top w:val="single" w:sz="4" w:space="0" w:color="FFD55B" w:themeColor="accent3" w:themeTint="99"/>
        <w:bottom w:val="single" w:sz="4" w:space="0" w:color="FFD55B" w:themeColor="accent3" w:themeTint="99"/>
        <w:insideH w:val="single" w:sz="4" w:space="0" w:color="FFD55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1C8" w:themeFill="accent3" w:themeFillTint="33"/>
      </w:tcPr>
    </w:tblStylePr>
    <w:tblStylePr w:type="band1Horz">
      <w:tblPr/>
      <w:tcPr>
        <w:shd w:val="clear" w:color="auto" w:fill="FFF1C8" w:themeFill="accent3" w:themeFillTint="33"/>
      </w:tcPr>
    </w:tblStylePr>
  </w:style>
  <w:style w:type="paragraph" w:styleId="TOC3">
    <w:name w:val="toc 3"/>
    <w:basedOn w:val="Normal"/>
    <w:next w:val="Normal"/>
    <w:autoRedefine/>
    <w:uiPriority w:val="39"/>
    <w:unhideWhenUsed/>
    <w:rsid w:val="00DF299E"/>
    <w:pPr>
      <w:spacing w:after="100" w:line="240" w:lineRule="auto"/>
      <w:ind w:left="440"/>
    </w:pPr>
    <w:rPr>
      <w:rFonts w:asciiTheme="minorHAnsi" w:eastAsia="Times New Roman" w:hAnsiTheme="minorHAnsi" w:cs="Times New Roman"/>
      <w:color w:val="auto"/>
      <w:szCs w:val="24"/>
      <w:lang w:eastAsia="zh-TW"/>
    </w:rPr>
  </w:style>
  <w:style w:type="paragraph" w:styleId="TOC2">
    <w:name w:val="toc 2"/>
    <w:basedOn w:val="Normal"/>
    <w:next w:val="Normal"/>
    <w:autoRedefine/>
    <w:uiPriority w:val="39"/>
    <w:unhideWhenUsed/>
    <w:rsid w:val="00483D11"/>
    <w:pPr>
      <w:tabs>
        <w:tab w:val="right" w:leader="dot" w:pos="10070"/>
      </w:tabs>
      <w:spacing w:after="100" w:line="240" w:lineRule="auto"/>
      <w:ind w:left="220"/>
    </w:pPr>
    <w:rPr>
      <w:rFonts w:asciiTheme="minorHAnsi" w:eastAsia="Times New Roman" w:hAnsiTheme="minorHAnsi" w:cs="Times New Roman"/>
      <w:color w:val="auto"/>
      <w:szCs w:val="24"/>
      <w:lang w:eastAsia="zh-TW"/>
    </w:rPr>
  </w:style>
  <w:style w:type="paragraph" w:styleId="TableofFigures">
    <w:name w:val="table of figures"/>
    <w:basedOn w:val="Normal"/>
    <w:next w:val="Normal"/>
    <w:uiPriority w:val="99"/>
    <w:unhideWhenUsed/>
    <w:rsid w:val="00DF299E"/>
    <w:pPr>
      <w:spacing w:line="240" w:lineRule="auto"/>
    </w:pPr>
    <w:rPr>
      <w:rFonts w:asciiTheme="minorHAnsi" w:eastAsia="Times New Roman" w:hAnsiTheme="minorHAnsi" w:cs="Times New Roman"/>
      <w:color w:val="auto"/>
      <w:szCs w:val="24"/>
      <w:lang w:eastAsia="zh-TW"/>
    </w:rPr>
  </w:style>
  <w:style w:type="table" w:styleId="ListTable6Colorful">
    <w:name w:val="List Table 6 Colorful"/>
    <w:basedOn w:val="TableNormal"/>
    <w:uiPriority w:val="51"/>
    <w:rsid w:val="00DF299E"/>
    <w:rPr>
      <w:color w:val="3A3737" w:themeColor="text1"/>
    </w:rPr>
    <w:tblPr>
      <w:tblStyleRowBandSize w:val="1"/>
      <w:tblStyleColBandSize w:val="1"/>
      <w:tblBorders>
        <w:top w:val="single" w:sz="4" w:space="0" w:color="3A3737" w:themeColor="text1"/>
        <w:bottom w:val="single" w:sz="4" w:space="0" w:color="3A3737" w:themeColor="text1"/>
      </w:tblBorders>
    </w:tblPr>
    <w:tblStylePr w:type="firstRow">
      <w:rPr>
        <w:b/>
        <w:bCs/>
      </w:rPr>
      <w:tblPr/>
      <w:tcPr>
        <w:tcBorders>
          <w:bottom w:val="single" w:sz="4" w:space="0" w:color="3A3737" w:themeColor="text1"/>
        </w:tcBorders>
      </w:tcPr>
    </w:tblStylePr>
    <w:tblStylePr w:type="lastRow">
      <w:rPr>
        <w:b/>
        <w:bCs/>
      </w:rPr>
      <w:tblPr/>
      <w:tcPr>
        <w:tcBorders>
          <w:top w:val="double" w:sz="4" w:space="0" w:color="3A3737" w:themeColor="text1"/>
        </w:tcBorders>
      </w:tcPr>
    </w:tblStylePr>
    <w:tblStylePr w:type="firstCol">
      <w:rPr>
        <w:b/>
        <w:bCs/>
      </w:rPr>
    </w:tblStylePr>
    <w:tblStylePr w:type="lastCol">
      <w:rPr>
        <w:b/>
        <w:bCs/>
      </w:rPr>
    </w:tblStylePr>
    <w:tblStylePr w:type="band1Vert">
      <w:tblPr/>
      <w:tcPr>
        <w:shd w:val="clear" w:color="auto" w:fill="D8D6D6" w:themeFill="text1" w:themeFillTint="33"/>
      </w:tcPr>
    </w:tblStylePr>
    <w:tblStylePr w:type="band1Horz">
      <w:tblPr/>
      <w:tcPr>
        <w:shd w:val="clear" w:color="auto" w:fill="D8D6D6" w:themeFill="text1" w:themeFillTint="33"/>
      </w:tcPr>
    </w:tblStylePr>
  </w:style>
  <w:style w:type="table" w:customStyle="1" w:styleId="TableCustom">
    <w:name w:val="Table Custom"/>
    <w:basedOn w:val="TableNormal"/>
    <w:uiPriority w:val="99"/>
    <w:rsid w:val="006E19A0"/>
    <w:rPr>
      <w:sz w:val="20"/>
    </w:rPr>
    <w:tblPr>
      <w:tblStyleRowBandSize w:val="1"/>
      <w:tblStyleColBandSize w:val="1"/>
      <w:tblBorders>
        <w:top w:val="single" w:sz="12" w:space="0" w:color="005596"/>
        <w:bottom w:val="single" w:sz="12" w:space="0" w:color="005596"/>
        <w:insideH w:val="single" w:sz="4" w:space="0" w:color="89D7E0" w:themeColor="accent1" w:themeTint="66"/>
        <w:insideV w:val="single" w:sz="4" w:space="0" w:color="89D7E0" w:themeColor="accent1" w:themeTint="66"/>
      </w:tblBorders>
      <w:tblCellMar>
        <w:top w:w="43" w:type="dxa"/>
        <w:left w:w="115" w:type="dxa"/>
        <w:bottom w:w="43" w:type="dxa"/>
        <w:right w:w="115" w:type="dxa"/>
      </w:tblCellMar>
    </w:tblPr>
    <w:tcPr>
      <w:shd w:val="clear" w:color="auto" w:fill="auto"/>
    </w:tcPr>
    <w:tblStylePr w:type="firstRow">
      <w:rPr>
        <w:rFonts w:ascii="Arial" w:hAnsi="Arial"/>
        <w:b/>
        <w:color w:val="FFFFFF" w:themeColor="background1"/>
        <w:sz w:val="20"/>
      </w:rPr>
      <w:tblPr/>
      <w:tcPr>
        <w:shd w:val="clear" w:color="auto" w:fill="005596"/>
      </w:tcPr>
    </w:tblStylePr>
    <w:tblStylePr w:type="lastRow">
      <w:tblPr/>
      <w:tcPr>
        <w:shd w:val="clear" w:color="auto" w:fill="EDF2F4"/>
      </w:tcPr>
    </w:tblStylePr>
    <w:tblStylePr w:type="firstCol">
      <w:rPr>
        <w:b w:val="0"/>
      </w:rPr>
      <w:tblPr/>
      <w:tcPr>
        <w:shd w:val="clear" w:color="auto" w:fill="EDF2F4"/>
      </w:tcPr>
    </w:tblStylePr>
    <w:tblStylePr w:type="lastCol">
      <w:tblPr/>
      <w:tcPr>
        <w:shd w:val="clear" w:color="auto" w:fill="EDF2F4"/>
      </w:tcPr>
    </w:tblStylePr>
    <w:tblStylePr w:type="band1Vert">
      <w:tblPr/>
      <w:tcPr>
        <w:shd w:val="clear" w:color="auto" w:fill="EDF2F4"/>
      </w:tcPr>
    </w:tblStylePr>
    <w:tblStylePr w:type="band2Horz">
      <w:tblPr/>
      <w:tcPr>
        <w:shd w:val="clear" w:color="auto" w:fill="EDF2F4"/>
      </w:tcPr>
    </w:tblStylePr>
  </w:style>
  <w:style w:type="paragraph" w:customStyle="1" w:styleId="TtFooter-EntityName">
    <w:name w:val="Tt Footer - Entity Name"/>
    <w:link w:val="TtFooter-EntityNameChar"/>
    <w:uiPriority w:val="74"/>
    <w:qFormat/>
    <w:rsid w:val="00205703"/>
    <w:pPr>
      <w:spacing w:line="240" w:lineRule="exact"/>
      <w:jc w:val="right"/>
    </w:pPr>
    <w:rPr>
      <w:rFonts w:ascii="Gill Sans MT" w:hAnsi="Gill Sans MT"/>
      <w:color w:val="003478"/>
      <w:sz w:val="22"/>
      <w:szCs w:val="21"/>
    </w:rPr>
  </w:style>
  <w:style w:type="paragraph" w:customStyle="1" w:styleId="TtFooter-AddressLine">
    <w:name w:val="Tt Footer - Address Line"/>
    <w:basedOn w:val="Footer"/>
    <w:link w:val="TtFooter-AddressLineChar"/>
    <w:uiPriority w:val="74"/>
    <w:qFormat/>
    <w:rsid w:val="00205703"/>
    <w:pPr>
      <w:tabs>
        <w:tab w:val="clear" w:pos="4680"/>
        <w:tab w:val="clear" w:pos="9360"/>
        <w:tab w:val="center" w:pos="4320"/>
        <w:tab w:val="right" w:pos="8640"/>
      </w:tabs>
      <w:spacing w:line="240" w:lineRule="exact"/>
      <w:jc w:val="right"/>
    </w:pPr>
    <w:rPr>
      <w:rFonts w:ascii="Gill Sans MT" w:hAnsi="Gill Sans MT"/>
      <w:color w:val="808080" w:themeColor="background1" w:themeShade="80"/>
      <w:szCs w:val="17"/>
    </w:rPr>
  </w:style>
  <w:style w:type="character" w:customStyle="1" w:styleId="TtFooter-EntityNameChar">
    <w:name w:val="Tt Footer - Entity Name Char"/>
    <w:basedOn w:val="DefaultParagraphFont"/>
    <w:link w:val="TtFooter-EntityName"/>
    <w:uiPriority w:val="74"/>
    <w:rsid w:val="00205703"/>
    <w:rPr>
      <w:rFonts w:ascii="Gill Sans MT" w:eastAsiaTheme="minorEastAsia" w:hAnsi="Gill Sans MT"/>
      <w:color w:val="003478"/>
      <w:sz w:val="22"/>
      <w:szCs w:val="21"/>
    </w:rPr>
  </w:style>
  <w:style w:type="character" w:customStyle="1" w:styleId="TtFooter-AddressLineChar">
    <w:name w:val="Tt Footer - Address Line Char"/>
    <w:basedOn w:val="FooterChar"/>
    <w:link w:val="TtFooter-AddressLine"/>
    <w:uiPriority w:val="74"/>
    <w:rsid w:val="00205703"/>
    <w:rPr>
      <w:rFonts w:ascii="Gill Sans MT" w:eastAsiaTheme="minorEastAsia" w:hAnsi="Gill Sans MT"/>
      <w:color w:val="808080" w:themeColor="background1" w:themeShade="80"/>
      <w:sz w:val="20"/>
      <w:szCs w:val="17"/>
    </w:rPr>
  </w:style>
  <w:style w:type="paragraph" w:styleId="EndnoteText">
    <w:name w:val="endnote text"/>
    <w:basedOn w:val="Normal"/>
    <w:link w:val="EndnoteTextChar"/>
    <w:uiPriority w:val="99"/>
    <w:semiHidden/>
    <w:unhideWhenUsed/>
    <w:rsid w:val="0068095B"/>
    <w:pPr>
      <w:spacing w:line="240" w:lineRule="auto"/>
    </w:pPr>
    <w:rPr>
      <w:szCs w:val="20"/>
    </w:rPr>
  </w:style>
  <w:style w:type="character" w:customStyle="1" w:styleId="EndnoteTextChar">
    <w:name w:val="Endnote Text Char"/>
    <w:basedOn w:val="DefaultParagraphFont"/>
    <w:link w:val="EndnoteText"/>
    <w:uiPriority w:val="99"/>
    <w:semiHidden/>
    <w:rsid w:val="0068095B"/>
    <w:rPr>
      <w:rFonts w:ascii="Tw Cen MT" w:hAnsi="Tw Cen MT"/>
      <w:color w:val="2B2929" w:themeColor="text1" w:themeShade="BF"/>
      <w:sz w:val="20"/>
      <w:szCs w:val="20"/>
    </w:rPr>
  </w:style>
  <w:style w:type="character" w:styleId="EndnoteReference">
    <w:name w:val="endnote reference"/>
    <w:basedOn w:val="DefaultParagraphFont"/>
    <w:uiPriority w:val="99"/>
    <w:semiHidden/>
    <w:unhideWhenUsed/>
    <w:rsid w:val="0068095B"/>
    <w:rPr>
      <w:vertAlign w:val="superscript"/>
    </w:rPr>
  </w:style>
  <w:style w:type="character" w:styleId="PlaceholderText">
    <w:name w:val="Placeholder Text"/>
    <w:basedOn w:val="DefaultParagraphFont"/>
    <w:uiPriority w:val="99"/>
    <w:semiHidden/>
    <w:rsid w:val="00673592"/>
    <w:rPr>
      <w:color w:val="808080"/>
    </w:rPr>
  </w:style>
  <w:style w:type="table" w:styleId="ListTable3-Accent1">
    <w:name w:val="List Table 3 Accent 1"/>
    <w:basedOn w:val="TableNormal"/>
    <w:uiPriority w:val="48"/>
    <w:rsid w:val="002D3570"/>
    <w:tblPr>
      <w:tblStyleRowBandSize w:val="1"/>
      <w:tblStyleColBandSize w:val="1"/>
      <w:tblBorders>
        <w:top w:val="single" w:sz="4" w:space="0" w:color="1D666E" w:themeColor="accent1"/>
        <w:left w:val="single" w:sz="4" w:space="0" w:color="1D666E" w:themeColor="accent1"/>
        <w:bottom w:val="single" w:sz="4" w:space="0" w:color="1D666E" w:themeColor="accent1"/>
        <w:right w:val="single" w:sz="4" w:space="0" w:color="1D666E" w:themeColor="accent1"/>
      </w:tblBorders>
    </w:tblPr>
    <w:tblStylePr w:type="firstRow">
      <w:rPr>
        <w:b/>
        <w:bCs/>
        <w:color w:val="FFFFFF" w:themeColor="background1"/>
      </w:rPr>
      <w:tblPr/>
      <w:tcPr>
        <w:shd w:val="clear" w:color="auto" w:fill="1D666E" w:themeFill="accent1"/>
      </w:tcPr>
    </w:tblStylePr>
    <w:tblStylePr w:type="lastRow">
      <w:rPr>
        <w:b/>
        <w:bCs/>
      </w:rPr>
      <w:tblPr/>
      <w:tcPr>
        <w:tcBorders>
          <w:top w:val="double" w:sz="4" w:space="0" w:color="1D666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D666E" w:themeColor="accent1"/>
          <w:right w:val="single" w:sz="4" w:space="0" w:color="1D666E" w:themeColor="accent1"/>
        </w:tcBorders>
      </w:tcPr>
    </w:tblStylePr>
    <w:tblStylePr w:type="band1Horz">
      <w:tblPr/>
      <w:tcPr>
        <w:tcBorders>
          <w:top w:val="single" w:sz="4" w:space="0" w:color="1D666E" w:themeColor="accent1"/>
          <w:bottom w:val="single" w:sz="4" w:space="0" w:color="1D666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D666E" w:themeColor="accent1"/>
          <w:left w:val="nil"/>
        </w:tcBorders>
      </w:tcPr>
    </w:tblStylePr>
    <w:tblStylePr w:type="swCell">
      <w:tblPr/>
      <w:tcPr>
        <w:tcBorders>
          <w:top w:val="double" w:sz="4" w:space="0" w:color="1D666E"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96244">
      <w:bodyDiv w:val="1"/>
      <w:marLeft w:val="0"/>
      <w:marRight w:val="0"/>
      <w:marTop w:val="0"/>
      <w:marBottom w:val="0"/>
      <w:divBdr>
        <w:top w:val="none" w:sz="0" w:space="0" w:color="auto"/>
        <w:left w:val="none" w:sz="0" w:space="0" w:color="auto"/>
        <w:bottom w:val="none" w:sz="0" w:space="0" w:color="auto"/>
        <w:right w:val="none" w:sz="0" w:space="0" w:color="auto"/>
      </w:divBdr>
    </w:div>
    <w:div w:id="259072719">
      <w:bodyDiv w:val="1"/>
      <w:marLeft w:val="0"/>
      <w:marRight w:val="0"/>
      <w:marTop w:val="0"/>
      <w:marBottom w:val="0"/>
      <w:divBdr>
        <w:top w:val="none" w:sz="0" w:space="0" w:color="auto"/>
        <w:left w:val="none" w:sz="0" w:space="0" w:color="auto"/>
        <w:bottom w:val="none" w:sz="0" w:space="0" w:color="auto"/>
        <w:right w:val="none" w:sz="0" w:space="0" w:color="auto"/>
      </w:divBdr>
    </w:div>
    <w:div w:id="282930010">
      <w:bodyDiv w:val="1"/>
      <w:marLeft w:val="0"/>
      <w:marRight w:val="0"/>
      <w:marTop w:val="0"/>
      <w:marBottom w:val="0"/>
      <w:divBdr>
        <w:top w:val="none" w:sz="0" w:space="0" w:color="auto"/>
        <w:left w:val="none" w:sz="0" w:space="0" w:color="auto"/>
        <w:bottom w:val="none" w:sz="0" w:space="0" w:color="auto"/>
        <w:right w:val="none" w:sz="0" w:space="0" w:color="auto"/>
      </w:divBdr>
    </w:div>
    <w:div w:id="336884316">
      <w:bodyDiv w:val="1"/>
      <w:marLeft w:val="0"/>
      <w:marRight w:val="0"/>
      <w:marTop w:val="0"/>
      <w:marBottom w:val="0"/>
      <w:divBdr>
        <w:top w:val="none" w:sz="0" w:space="0" w:color="auto"/>
        <w:left w:val="none" w:sz="0" w:space="0" w:color="auto"/>
        <w:bottom w:val="none" w:sz="0" w:space="0" w:color="auto"/>
        <w:right w:val="none" w:sz="0" w:space="0" w:color="auto"/>
      </w:divBdr>
    </w:div>
    <w:div w:id="360668716">
      <w:bodyDiv w:val="1"/>
      <w:marLeft w:val="0"/>
      <w:marRight w:val="0"/>
      <w:marTop w:val="0"/>
      <w:marBottom w:val="0"/>
      <w:divBdr>
        <w:top w:val="none" w:sz="0" w:space="0" w:color="auto"/>
        <w:left w:val="none" w:sz="0" w:space="0" w:color="auto"/>
        <w:bottom w:val="none" w:sz="0" w:space="0" w:color="auto"/>
        <w:right w:val="none" w:sz="0" w:space="0" w:color="auto"/>
      </w:divBdr>
    </w:div>
    <w:div w:id="373433501">
      <w:bodyDiv w:val="1"/>
      <w:marLeft w:val="0"/>
      <w:marRight w:val="0"/>
      <w:marTop w:val="0"/>
      <w:marBottom w:val="0"/>
      <w:divBdr>
        <w:top w:val="none" w:sz="0" w:space="0" w:color="auto"/>
        <w:left w:val="none" w:sz="0" w:space="0" w:color="auto"/>
        <w:bottom w:val="none" w:sz="0" w:space="0" w:color="auto"/>
        <w:right w:val="none" w:sz="0" w:space="0" w:color="auto"/>
      </w:divBdr>
    </w:div>
    <w:div w:id="467095257">
      <w:bodyDiv w:val="1"/>
      <w:marLeft w:val="0"/>
      <w:marRight w:val="0"/>
      <w:marTop w:val="0"/>
      <w:marBottom w:val="0"/>
      <w:divBdr>
        <w:top w:val="none" w:sz="0" w:space="0" w:color="auto"/>
        <w:left w:val="none" w:sz="0" w:space="0" w:color="auto"/>
        <w:bottom w:val="none" w:sz="0" w:space="0" w:color="auto"/>
        <w:right w:val="none" w:sz="0" w:space="0" w:color="auto"/>
      </w:divBdr>
    </w:div>
    <w:div w:id="531186073">
      <w:bodyDiv w:val="1"/>
      <w:marLeft w:val="0"/>
      <w:marRight w:val="0"/>
      <w:marTop w:val="0"/>
      <w:marBottom w:val="0"/>
      <w:divBdr>
        <w:top w:val="none" w:sz="0" w:space="0" w:color="auto"/>
        <w:left w:val="none" w:sz="0" w:space="0" w:color="auto"/>
        <w:bottom w:val="none" w:sz="0" w:space="0" w:color="auto"/>
        <w:right w:val="none" w:sz="0" w:space="0" w:color="auto"/>
      </w:divBdr>
      <w:divsChild>
        <w:div w:id="1479760246">
          <w:marLeft w:val="480"/>
          <w:marRight w:val="0"/>
          <w:marTop w:val="0"/>
          <w:marBottom w:val="0"/>
          <w:divBdr>
            <w:top w:val="none" w:sz="0" w:space="0" w:color="auto"/>
            <w:left w:val="none" w:sz="0" w:space="0" w:color="auto"/>
            <w:bottom w:val="none" w:sz="0" w:space="0" w:color="auto"/>
            <w:right w:val="none" w:sz="0" w:space="0" w:color="auto"/>
          </w:divBdr>
        </w:div>
      </w:divsChild>
    </w:div>
    <w:div w:id="639041945">
      <w:bodyDiv w:val="1"/>
      <w:marLeft w:val="0"/>
      <w:marRight w:val="0"/>
      <w:marTop w:val="0"/>
      <w:marBottom w:val="0"/>
      <w:divBdr>
        <w:top w:val="none" w:sz="0" w:space="0" w:color="auto"/>
        <w:left w:val="none" w:sz="0" w:space="0" w:color="auto"/>
        <w:bottom w:val="none" w:sz="0" w:space="0" w:color="auto"/>
        <w:right w:val="none" w:sz="0" w:space="0" w:color="auto"/>
      </w:divBdr>
    </w:div>
    <w:div w:id="708338535">
      <w:bodyDiv w:val="1"/>
      <w:marLeft w:val="0"/>
      <w:marRight w:val="0"/>
      <w:marTop w:val="0"/>
      <w:marBottom w:val="0"/>
      <w:divBdr>
        <w:top w:val="none" w:sz="0" w:space="0" w:color="auto"/>
        <w:left w:val="none" w:sz="0" w:space="0" w:color="auto"/>
        <w:bottom w:val="none" w:sz="0" w:space="0" w:color="auto"/>
        <w:right w:val="none" w:sz="0" w:space="0" w:color="auto"/>
      </w:divBdr>
    </w:div>
    <w:div w:id="732893253">
      <w:bodyDiv w:val="1"/>
      <w:marLeft w:val="0"/>
      <w:marRight w:val="0"/>
      <w:marTop w:val="0"/>
      <w:marBottom w:val="0"/>
      <w:divBdr>
        <w:top w:val="none" w:sz="0" w:space="0" w:color="auto"/>
        <w:left w:val="none" w:sz="0" w:space="0" w:color="auto"/>
        <w:bottom w:val="none" w:sz="0" w:space="0" w:color="auto"/>
        <w:right w:val="none" w:sz="0" w:space="0" w:color="auto"/>
      </w:divBdr>
    </w:div>
    <w:div w:id="777221040">
      <w:bodyDiv w:val="1"/>
      <w:marLeft w:val="0"/>
      <w:marRight w:val="0"/>
      <w:marTop w:val="0"/>
      <w:marBottom w:val="0"/>
      <w:divBdr>
        <w:top w:val="none" w:sz="0" w:space="0" w:color="auto"/>
        <w:left w:val="none" w:sz="0" w:space="0" w:color="auto"/>
        <w:bottom w:val="none" w:sz="0" w:space="0" w:color="auto"/>
        <w:right w:val="none" w:sz="0" w:space="0" w:color="auto"/>
      </w:divBdr>
    </w:div>
    <w:div w:id="803696518">
      <w:bodyDiv w:val="1"/>
      <w:marLeft w:val="0"/>
      <w:marRight w:val="0"/>
      <w:marTop w:val="0"/>
      <w:marBottom w:val="0"/>
      <w:divBdr>
        <w:top w:val="none" w:sz="0" w:space="0" w:color="auto"/>
        <w:left w:val="none" w:sz="0" w:space="0" w:color="auto"/>
        <w:bottom w:val="none" w:sz="0" w:space="0" w:color="auto"/>
        <w:right w:val="none" w:sz="0" w:space="0" w:color="auto"/>
      </w:divBdr>
      <w:divsChild>
        <w:div w:id="46757217">
          <w:marLeft w:val="480"/>
          <w:marRight w:val="0"/>
          <w:marTop w:val="0"/>
          <w:marBottom w:val="0"/>
          <w:divBdr>
            <w:top w:val="none" w:sz="0" w:space="0" w:color="auto"/>
            <w:left w:val="none" w:sz="0" w:space="0" w:color="auto"/>
            <w:bottom w:val="none" w:sz="0" w:space="0" w:color="auto"/>
            <w:right w:val="none" w:sz="0" w:space="0" w:color="auto"/>
          </w:divBdr>
        </w:div>
      </w:divsChild>
    </w:div>
    <w:div w:id="845512699">
      <w:bodyDiv w:val="1"/>
      <w:marLeft w:val="0"/>
      <w:marRight w:val="0"/>
      <w:marTop w:val="0"/>
      <w:marBottom w:val="0"/>
      <w:divBdr>
        <w:top w:val="none" w:sz="0" w:space="0" w:color="auto"/>
        <w:left w:val="none" w:sz="0" w:space="0" w:color="auto"/>
        <w:bottom w:val="none" w:sz="0" w:space="0" w:color="auto"/>
        <w:right w:val="none" w:sz="0" w:space="0" w:color="auto"/>
      </w:divBdr>
    </w:div>
    <w:div w:id="930818626">
      <w:bodyDiv w:val="1"/>
      <w:marLeft w:val="0"/>
      <w:marRight w:val="0"/>
      <w:marTop w:val="0"/>
      <w:marBottom w:val="0"/>
      <w:divBdr>
        <w:top w:val="none" w:sz="0" w:space="0" w:color="auto"/>
        <w:left w:val="none" w:sz="0" w:space="0" w:color="auto"/>
        <w:bottom w:val="none" w:sz="0" w:space="0" w:color="auto"/>
        <w:right w:val="none" w:sz="0" w:space="0" w:color="auto"/>
      </w:divBdr>
    </w:div>
    <w:div w:id="1086076776">
      <w:bodyDiv w:val="1"/>
      <w:marLeft w:val="0"/>
      <w:marRight w:val="0"/>
      <w:marTop w:val="0"/>
      <w:marBottom w:val="0"/>
      <w:divBdr>
        <w:top w:val="none" w:sz="0" w:space="0" w:color="auto"/>
        <w:left w:val="none" w:sz="0" w:space="0" w:color="auto"/>
        <w:bottom w:val="none" w:sz="0" w:space="0" w:color="auto"/>
        <w:right w:val="none" w:sz="0" w:space="0" w:color="auto"/>
      </w:divBdr>
    </w:div>
    <w:div w:id="1114522913">
      <w:bodyDiv w:val="1"/>
      <w:marLeft w:val="0"/>
      <w:marRight w:val="0"/>
      <w:marTop w:val="0"/>
      <w:marBottom w:val="0"/>
      <w:divBdr>
        <w:top w:val="none" w:sz="0" w:space="0" w:color="auto"/>
        <w:left w:val="none" w:sz="0" w:space="0" w:color="auto"/>
        <w:bottom w:val="none" w:sz="0" w:space="0" w:color="auto"/>
        <w:right w:val="none" w:sz="0" w:space="0" w:color="auto"/>
      </w:divBdr>
      <w:divsChild>
        <w:div w:id="1971664655">
          <w:marLeft w:val="480"/>
          <w:marRight w:val="0"/>
          <w:marTop w:val="0"/>
          <w:marBottom w:val="0"/>
          <w:divBdr>
            <w:top w:val="none" w:sz="0" w:space="0" w:color="auto"/>
            <w:left w:val="none" w:sz="0" w:space="0" w:color="auto"/>
            <w:bottom w:val="none" w:sz="0" w:space="0" w:color="auto"/>
            <w:right w:val="none" w:sz="0" w:space="0" w:color="auto"/>
          </w:divBdr>
        </w:div>
      </w:divsChild>
    </w:div>
    <w:div w:id="1128399088">
      <w:bodyDiv w:val="1"/>
      <w:marLeft w:val="0"/>
      <w:marRight w:val="0"/>
      <w:marTop w:val="0"/>
      <w:marBottom w:val="0"/>
      <w:divBdr>
        <w:top w:val="none" w:sz="0" w:space="0" w:color="auto"/>
        <w:left w:val="none" w:sz="0" w:space="0" w:color="auto"/>
        <w:bottom w:val="none" w:sz="0" w:space="0" w:color="auto"/>
        <w:right w:val="none" w:sz="0" w:space="0" w:color="auto"/>
      </w:divBdr>
      <w:divsChild>
        <w:div w:id="1767457972">
          <w:marLeft w:val="480"/>
          <w:marRight w:val="0"/>
          <w:marTop w:val="0"/>
          <w:marBottom w:val="0"/>
          <w:divBdr>
            <w:top w:val="none" w:sz="0" w:space="0" w:color="auto"/>
            <w:left w:val="none" w:sz="0" w:space="0" w:color="auto"/>
            <w:bottom w:val="none" w:sz="0" w:space="0" w:color="auto"/>
            <w:right w:val="none" w:sz="0" w:space="0" w:color="auto"/>
          </w:divBdr>
        </w:div>
      </w:divsChild>
    </w:div>
    <w:div w:id="1170559460">
      <w:bodyDiv w:val="1"/>
      <w:marLeft w:val="0"/>
      <w:marRight w:val="0"/>
      <w:marTop w:val="0"/>
      <w:marBottom w:val="0"/>
      <w:divBdr>
        <w:top w:val="none" w:sz="0" w:space="0" w:color="auto"/>
        <w:left w:val="none" w:sz="0" w:space="0" w:color="auto"/>
        <w:bottom w:val="none" w:sz="0" w:space="0" w:color="auto"/>
        <w:right w:val="none" w:sz="0" w:space="0" w:color="auto"/>
      </w:divBdr>
    </w:div>
    <w:div w:id="1174028380">
      <w:bodyDiv w:val="1"/>
      <w:marLeft w:val="0"/>
      <w:marRight w:val="0"/>
      <w:marTop w:val="0"/>
      <w:marBottom w:val="0"/>
      <w:divBdr>
        <w:top w:val="none" w:sz="0" w:space="0" w:color="auto"/>
        <w:left w:val="none" w:sz="0" w:space="0" w:color="auto"/>
        <w:bottom w:val="none" w:sz="0" w:space="0" w:color="auto"/>
        <w:right w:val="none" w:sz="0" w:space="0" w:color="auto"/>
      </w:divBdr>
    </w:div>
    <w:div w:id="1481775456">
      <w:bodyDiv w:val="1"/>
      <w:marLeft w:val="0"/>
      <w:marRight w:val="0"/>
      <w:marTop w:val="0"/>
      <w:marBottom w:val="0"/>
      <w:divBdr>
        <w:top w:val="none" w:sz="0" w:space="0" w:color="auto"/>
        <w:left w:val="none" w:sz="0" w:space="0" w:color="auto"/>
        <w:bottom w:val="none" w:sz="0" w:space="0" w:color="auto"/>
        <w:right w:val="none" w:sz="0" w:space="0" w:color="auto"/>
      </w:divBdr>
    </w:div>
    <w:div w:id="1493107705">
      <w:bodyDiv w:val="1"/>
      <w:marLeft w:val="0"/>
      <w:marRight w:val="0"/>
      <w:marTop w:val="0"/>
      <w:marBottom w:val="0"/>
      <w:divBdr>
        <w:top w:val="none" w:sz="0" w:space="0" w:color="auto"/>
        <w:left w:val="none" w:sz="0" w:space="0" w:color="auto"/>
        <w:bottom w:val="none" w:sz="0" w:space="0" w:color="auto"/>
        <w:right w:val="none" w:sz="0" w:space="0" w:color="auto"/>
      </w:divBdr>
    </w:div>
    <w:div w:id="1544559505">
      <w:bodyDiv w:val="1"/>
      <w:marLeft w:val="0"/>
      <w:marRight w:val="0"/>
      <w:marTop w:val="0"/>
      <w:marBottom w:val="0"/>
      <w:divBdr>
        <w:top w:val="none" w:sz="0" w:space="0" w:color="auto"/>
        <w:left w:val="none" w:sz="0" w:space="0" w:color="auto"/>
        <w:bottom w:val="none" w:sz="0" w:space="0" w:color="auto"/>
        <w:right w:val="none" w:sz="0" w:space="0" w:color="auto"/>
      </w:divBdr>
    </w:div>
    <w:div w:id="1578444094">
      <w:bodyDiv w:val="1"/>
      <w:marLeft w:val="0"/>
      <w:marRight w:val="0"/>
      <w:marTop w:val="0"/>
      <w:marBottom w:val="0"/>
      <w:divBdr>
        <w:top w:val="none" w:sz="0" w:space="0" w:color="auto"/>
        <w:left w:val="none" w:sz="0" w:space="0" w:color="auto"/>
        <w:bottom w:val="none" w:sz="0" w:space="0" w:color="auto"/>
        <w:right w:val="none" w:sz="0" w:space="0" w:color="auto"/>
      </w:divBdr>
    </w:div>
    <w:div w:id="1610117129">
      <w:bodyDiv w:val="1"/>
      <w:marLeft w:val="0"/>
      <w:marRight w:val="0"/>
      <w:marTop w:val="0"/>
      <w:marBottom w:val="0"/>
      <w:divBdr>
        <w:top w:val="none" w:sz="0" w:space="0" w:color="auto"/>
        <w:left w:val="none" w:sz="0" w:space="0" w:color="auto"/>
        <w:bottom w:val="none" w:sz="0" w:space="0" w:color="auto"/>
        <w:right w:val="none" w:sz="0" w:space="0" w:color="auto"/>
      </w:divBdr>
    </w:div>
    <w:div w:id="1626499516">
      <w:bodyDiv w:val="1"/>
      <w:marLeft w:val="0"/>
      <w:marRight w:val="0"/>
      <w:marTop w:val="0"/>
      <w:marBottom w:val="0"/>
      <w:divBdr>
        <w:top w:val="none" w:sz="0" w:space="0" w:color="auto"/>
        <w:left w:val="none" w:sz="0" w:space="0" w:color="auto"/>
        <w:bottom w:val="none" w:sz="0" w:space="0" w:color="auto"/>
        <w:right w:val="none" w:sz="0" w:space="0" w:color="auto"/>
      </w:divBdr>
    </w:div>
    <w:div w:id="1645039843">
      <w:bodyDiv w:val="1"/>
      <w:marLeft w:val="0"/>
      <w:marRight w:val="0"/>
      <w:marTop w:val="0"/>
      <w:marBottom w:val="0"/>
      <w:divBdr>
        <w:top w:val="none" w:sz="0" w:space="0" w:color="auto"/>
        <w:left w:val="none" w:sz="0" w:space="0" w:color="auto"/>
        <w:bottom w:val="none" w:sz="0" w:space="0" w:color="auto"/>
        <w:right w:val="none" w:sz="0" w:space="0" w:color="auto"/>
      </w:divBdr>
    </w:div>
    <w:div w:id="1785029980">
      <w:bodyDiv w:val="1"/>
      <w:marLeft w:val="0"/>
      <w:marRight w:val="0"/>
      <w:marTop w:val="0"/>
      <w:marBottom w:val="0"/>
      <w:divBdr>
        <w:top w:val="none" w:sz="0" w:space="0" w:color="auto"/>
        <w:left w:val="none" w:sz="0" w:space="0" w:color="auto"/>
        <w:bottom w:val="none" w:sz="0" w:space="0" w:color="auto"/>
        <w:right w:val="none" w:sz="0" w:space="0" w:color="auto"/>
      </w:divBdr>
    </w:div>
    <w:div w:id="1845317639">
      <w:bodyDiv w:val="1"/>
      <w:marLeft w:val="0"/>
      <w:marRight w:val="0"/>
      <w:marTop w:val="0"/>
      <w:marBottom w:val="0"/>
      <w:divBdr>
        <w:top w:val="none" w:sz="0" w:space="0" w:color="auto"/>
        <w:left w:val="none" w:sz="0" w:space="0" w:color="auto"/>
        <w:bottom w:val="none" w:sz="0" w:space="0" w:color="auto"/>
        <w:right w:val="none" w:sz="0" w:space="0" w:color="auto"/>
      </w:divBdr>
    </w:div>
    <w:div w:id="1890679945">
      <w:bodyDiv w:val="1"/>
      <w:marLeft w:val="0"/>
      <w:marRight w:val="0"/>
      <w:marTop w:val="0"/>
      <w:marBottom w:val="0"/>
      <w:divBdr>
        <w:top w:val="none" w:sz="0" w:space="0" w:color="auto"/>
        <w:left w:val="none" w:sz="0" w:space="0" w:color="auto"/>
        <w:bottom w:val="none" w:sz="0" w:space="0" w:color="auto"/>
        <w:right w:val="none" w:sz="0" w:space="0" w:color="auto"/>
      </w:divBdr>
    </w:div>
    <w:div w:id="1957633497">
      <w:bodyDiv w:val="1"/>
      <w:marLeft w:val="0"/>
      <w:marRight w:val="0"/>
      <w:marTop w:val="0"/>
      <w:marBottom w:val="0"/>
      <w:divBdr>
        <w:top w:val="none" w:sz="0" w:space="0" w:color="auto"/>
        <w:left w:val="none" w:sz="0" w:space="0" w:color="auto"/>
        <w:bottom w:val="none" w:sz="0" w:space="0" w:color="auto"/>
        <w:right w:val="none" w:sz="0" w:space="0" w:color="auto"/>
      </w:divBdr>
    </w:div>
    <w:div w:id="2088111671">
      <w:bodyDiv w:val="1"/>
      <w:marLeft w:val="0"/>
      <w:marRight w:val="0"/>
      <w:marTop w:val="0"/>
      <w:marBottom w:val="0"/>
      <w:divBdr>
        <w:top w:val="none" w:sz="0" w:space="0" w:color="auto"/>
        <w:left w:val="none" w:sz="0" w:space="0" w:color="auto"/>
        <w:bottom w:val="none" w:sz="0" w:space="0" w:color="auto"/>
        <w:right w:val="none" w:sz="0" w:space="0" w:color="auto"/>
      </w:divBdr>
    </w:div>
    <w:div w:id="2123498395">
      <w:bodyDiv w:val="1"/>
      <w:marLeft w:val="0"/>
      <w:marRight w:val="0"/>
      <w:marTop w:val="0"/>
      <w:marBottom w:val="0"/>
      <w:divBdr>
        <w:top w:val="none" w:sz="0" w:space="0" w:color="auto"/>
        <w:left w:val="none" w:sz="0" w:space="0" w:color="auto"/>
        <w:bottom w:val="none" w:sz="0" w:space="0" w:color="auto"/>
        <w:right w:val="none" w:sz="0" w:space="0" w:color="auto"/>
      </w:divBdr>
    </w:div>
    <w:div w:id="21385969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s://resourcerecycling.sharepoint.com/sites/capitalregiondistrictofgovernments/Shared%20Documents/2022%20Municipal%20Solid%20Waste%20Consultant%20Services/3%20-%20Project%20Working%20Files/draftreport_v3.docx" TargetMode="External"/><Relationship Id="rId26" Type="http://schemas.openxmlformats.org/officeDocument/2006/relationships/chart" Target="charts/chart8.xml"/><Relationship Id="rId39" Type="http://schemas.openxmlformats.org/officeDocument/2006/relationships/chart" Target="charts/chart13.xml"/><Relationship Id="rId21" Type="http://schemas.openxmlformats.org/officeDocument/2006/relationships/chart" Target="charts/chart3.xml"/><Relationship Id="rId34" Type="http://schemas.openxmlformats.org/officeDocument/2006/relationships/footer" Target="footer2.xml"/><Relationship Id="rId42"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resourcerecycling.sharepoint.com/sites/capitalregiondistrictofgovernments/Shared%20Documents/2022%20Municipal%20Solid%20Waste%20Consultant%20Services/3%20-%20Project%20Working%20Files/draftreport_v3.docx"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6.xml"/><Relationship Id="rId32" Type="http://schemas.openxmlformats.org/officeDocument/2006/relationships/header" Target="header2.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resourcerecycling.sharepoint.com/sites/capitalregiondistrictofgovernments/Shared%20Documents/2022%20Municipal%20Solid%20Waste%20Consultant%20Services/3%20-%20Project%20Working%20Files/draftreport_v3.docx" TargetMode="Externa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header" Target="header1.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image" Target="media/image6.png"/><Relationship Id="rId35" Type="http://schemas.openxmlformats.org/officeDocument/2006/relationships/footer" Target="footer3.xml"/><Relationship Id="rId43"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resourcerecycling.sharepoint.com/sites/capitalregiondistrictofgovernments/Shared%20Documents/2022%20Municipal%20Solid%20Waste%20Consultant%20Services/3%20-%20Project%20Working%20Files/draftreport_v3.docx" TargetMode="External"/><Relationship Id="rId25" Type="http://schemas.openxmlformats.org/officeDocument/2006/relationships/chart" Target="charts/chart7.xml"/><Relationship Id="rId33" Type="http://schemas.openxmlformats.org/officeDocument/2006/relationships/footer" Target="footer1.xml"/><Relationship Id="rId38" Type="http://schemas.openxmlformats.org/officeDocument/2006/relationships/chart" Target="charts/chart12.xml"/><Relationship Id="rId46" Type="http://schemas.openxmlformats.org/officeDocument/2006/relationships/theme" Target="theme/theme1.xml"/><Relationship Id="rId20" Type="http://schemas.openxmlformats.org/officeDocument/2006/relationships/chart" Target="charts/chart2.xml"/><Relationship Id="rId41" Type="http://schemas.openxmlformats.org/officeDocument/2006/relationships/image" Target="media/image8.jpeg"/></Relationships>
</file>

<file path=word/_rels/footnotes.xml.rels><?xml version="1.0" encoding="UTF-8" standalone="yes"?>
<Relationships xmlns="http://schemas.openxmlformats.org/package/2006/relationships"><Relationship Id="rId8" Type="http://schemas.openxmlformats.org/officeDocument/2006/relationships/hyperlink" Target="https://www.courant.com/news/connecticut/hc-news-blue-earth-compost-update-20190328-qwdwwn2a5veaxbqp6ztp2kxzg4-story.html" TargetMode="External"/><Relationship Id="rId13" Type="http://schemas.openxmlformats.org/officeDocument/2006/relationships/hyperlink" Target="https://portal.ct.gov/DEEP/Environmental-Justice/Environmental-Equity-Policy" TargetMode="External"/><Relationship Id="rId3" Type="http://schemas.openxmlformats.org/officeDocument/2006/relationships/hyperlink" Target="https://www.ctmira.org/about/" TargetMode="External"/><Relationship Id="rId7" Type="http://schemas.openxmlformats.org/officeDocument/2006/relationships/hyperlink" Target="https://www.epa.gov/sites/default/files/2021-01/documents/2018_ff_fact_sheet_dec_2020_fnl_508.pdf" TargetMode="External"/><Relationship Id="rId12" Type="http://schemas.openxmlformats.org/officeDocument/2006/relationships/hyperlink" Target="https://portal.ct.gov/DEEP/Permits-and-Licenses/Factsheets-Waste-and-Materials-Management/General-Permit-to-Construct-and-Operate-Certain-Recycling-Facilities" TargetMode="External"/><Relationship Id="rId2" Type="http://schemas.openxmlformats.org/officeDocument/2006/relationships/hyperlink" Target="https://www.cga.ct.gov/2014/act/pa/pdf/2014PA-00094-R00SB-00357-PA.pdf" TargetMode="External"/><Relationship Id="rId1" Type="http://schemas.openxmlformats.org/officeDocument/2006/relationships/hyperlink" Target="https://portal.ct.gov/-/media/DEEP/waste_management_and_disposal/Solid_Waste_Management_Plan/CMMSFinalAdoptedComprehensiveMaterialsManagementStrategypdf.pdf" TargetMode="External"/><Relationship Id="rId6" Type="http://schemas.openxmlformats.org/officeDocument/2006/relationships/hyperlink" Target="https://www1.ctdol.state.ct.us/lmi/projections.asp" TargetMode="External"/><Relationship Id="rId11" Type="http://schemas.openxmlformats.org/officeDocument/2006/relationships/hyperlink" Target="https://www.cga.ct.gov/2022/act/Sa/pdf/2022SA-00011-R00SB-00277-SA.PDF" TargetMode="External"/><Relationship Id="rId5" Type="http://schemas.openxmlformats.org/officeDocument/2006/relationships/hyperlink" Target="https://crcog.org/about/" TargetMode="External"/><Relationship Id="rId10" Type="http://schemas.openxmlformats.org/officeDocument/2006/relationships/hyperlink" Target="https://www.epa.gov/sites/default/files/2021-01/documents/2018_ff_fact_sheet_dec_2020_fnl_508.pdf" TargetMode="External"/><Relationship Id="rId4" Type="http://schemas.openxmlformats.org/officeDocument/2006/relationships/hyperlink" Target="https://www.ctmira.org/wp-content/uploads/2021/12/MIRA-Presentation-informational-meeting-12-15-21.pdf" TargetMode="External"/><Relationship Id="rId9" Type="http://schemas.openxmlformats.org/officeDocument/2006/relationships/hyperlink" Target="https://portal.ct.gov/-/media/DEEP/waste_management_and_disposal/Solid_Waste_Management_Plan/CMMSFinal2015MSWCharacterizationStudypdf.pdf" TargetMode="External"/><Relationship Id="rId14" Type="http://schemas.openxmlformats.org/officeDocument/2006/relationships/hyperlink" Target="https://cga.ct.gov/2020/ACT/PA/PDF/2020PA-00006-R00HB-07008SS3-PA.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https://resourcerecycling.sharepoint.com/sites/capitalregiondistrictofgovernments/Shared%20Documents/2022%20Municipal%20Solid%20Waste%20Consultant%20Services/3%20-%20Project%20Working%20Files/draftreport_v1.docx!_1725321242" TargetMode="Externa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https://tetratechinc.sharepoint.com/teams/RRSCCROGMSW/Shared%20Documents/General/Task%201%20System%20Assessment/Surrounding%20Facilities%20V2.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https://tetratechinc.sharepoint.com/teams/RRSCCROGMSW/Shared%20Documents/General/Task%201%20System%20Assessment/Surrounding%20Facilities%20V2.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https://tetratechinc.sharepoint.com/teams/RRSCCROGMSW/Shared%20Documents/General/Task%201%20System%20Assessment/Surrounding%20Facilities%20V2.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https://tetratechinc.sharepoint.com/teams/RRSCCROGMSW/Shared%20Documents/General/Task%201%20System%20Assessment/Surrounding%20Facilities%20V2.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https://resourcerecycling.sharepoint.com/sites/capitalregiondistrictofgovernments/Shared%20Documents/2022%20Municipal%20Solid%20Waste%20Consultant%20Services/3%20-%20Project%20Working%20Files/formattedsurveydata.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https://resourcerecycling.sharepoint.com/sites/capitalregiondistrictofgovernments/Shared%20Documents/2022%20Municipal%20Solid%20Waste%20Consultant%20Services/3%20-%20Project%20Working%20Files/formattedsurveydata.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dPt>
            <c:idx val="0"/>
            <c:bubble3D val="0"/>
            <c:extLst>
              <c:ext xmlns:c16="http://schemas.microsoft.com/office/drawing/2014/chart" uri="{C3380CC4-5D6E-409C-BE32-E72D297353CC}">
                <c16:uniqueId val="{00000000-F4EC-4B23-B0AB-300D750BB256}"/>
              </c:ext>
            </c:extLst>
          </c:dPt>
          <c:dPt>
            <c:idx val="1"/>
            <c:bubble3D val="0"/>
            <c:extLst>
              <c:ext xmlns:c16="http://schemas.microsoft.com/office/drawing/2014/chart" uri="{C3380CC4-5D6E-409C-BE32-E72D297353CC}">
                <c16:uniqueId val="{00000001-F4EC-4B23-B0AB-300D750BB256}"/>
              </c:ext>
            </c:extLst>
          </c:dPt>
          <c:dPt>
            <c:idx val="2"/>
            <c:bubble3D val="0"/>
            <c:extLst>
              <c:ext xmlns:c16="http://schemas.microsoft.com/office/drawing/2014/chart" uri="{C3380CC4-5D6E-409C-BE32-E72D297353CC}">
                <c16:uniqueId val="{00000002-F4EC-4B23-B0AB-300D750BB256}"/>
              </c:ext>
            </c:extLst>
          </c:dPt>
          <c:dPt>
            <c:idx val="3"/>
            <c:bubble3D val="0"/>
            <c:extLst>
              <c:ext xmlns:c16="http://schemas.microsoft.com/office/drawing/2014/chart" uri="{C3380CC4-5D6E-409C-BE32-E72D297353CC}">
                <c16:uniqueId val="{00000003-F4EC-4B23-B0AB-300D750BB256}"/>
              </c:ext>
            </c:extLst>
          </c:dPt>
          <c:dPt>
            <c:idx val="4"/>
            <c:bubble3D val="0"/>
            <c:extLst>
              <c:ext xmlns:c16="http://schemas.microsoft.com/office/drawing/2014/chart" uri="{C3380CC4-5D6E-409C-BE32-E72D297353CC}">
                <c16:uniqueId val="{00000004-F4EC-4B23-B0AB-300D750BB256}"/>
              </c:ext>
            </c:extLst>
          </c:dPt>
          <c:dPt>
            <c:idx val="5"/>
            <c:bubble3D val="0"/>
            <c:extLst>
              <c:ext xmlns:c16="http://schemas.microsoft.com/office/drawing/2014/chart" uri="{C3380CC4-5D6E-409C-BE32-E72D297353CC}">
                <c16:uniqueId val="{00000005-F4EC-4B23-B0AB-300D750BB256}"/>
              </c:ext>
            </c:extLst>
          </c:dPt>
          <c:dPt>
            <c:idx val="6"/>
            <c:bubble3D val="0"/>
            <c:extLst>
              <c:ext xmlns:c16="http://schemas.microsoft.com/office/drawing/2014/chart" uri="{C3380CC4-5D6E-409C-BE32-E72D297353CC}">
                <c16:uniqueId val="{00000006-F4EC-4B23-B0AB-300D750BB256}"/>
              </c:ext>
            </c:extLst>
          </c:dPt>
          <c:dLbls>
            <c:dLbl>
              <c:idx val="0"/>
              <c:spPr>
                <a:noFill/>
                <a:ln w="25400">
                  <a:noFill/>
                </a:ln>
              </c:spPr>
              <c:txPr>
                <a:bodyPr/>
                <a:lstStyle/>
                <a:p>
                  <a:pPr>
                    <a:defRPr>
                      <a:solidFill>
                        <a:schemeClr val="bg1"/>
                      </a:solidFill>
                    </a:defRPr>
                  </a:pPr>
                  <a:endParaRPr lang="en-US"/>
                </a:p>
              </c:txPr>
              <c:showLegendKey val="0"/>
              <c:showVal val="0"/>
              <c:showCatName val="0"/>
              <c:showSerName val="0"/>
              <c:showPercent val="1"/>
              <c:showBubbleSize val="0"/>
              <c:extLst>
                <c:ext xmlns:c16="http://schemas.microsoft.com/office/drawing/2014/chart" uri="{C3380CC4-5D6E-409C-BE32-E72D297353CC}">
                  <c16:uniqueId val="{00000000-F4EC-4B23-B0AB-300D750BB256}"/>
                </c:ext>
              </c:extLst>
            </c:dLbl>
            <c:dLbl>
              <c:idx val="1"/>
              <c:layout>
                <c:manualLayout>
                  <c:x val="-0.12641898864809081"/>
                  <c:y val="5.747126436781600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4EC-4B23-B0AB-300D750BB256}"/>
                </c:ext>
              </c:extLst>
            </c:dLbl>
            <c:dLbl>
              <c:idx val="2"/>
              <c:layout>
                <c:manualLayout>
                  <c:x val="-0.1238390092879257"/>
                  <c:y val="0"/>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4EC-4B23-B0AB-300D750BB256}"/>
                </c:ext>
              </c:extLst>
            </c:dLbl>
            <c:dLbl>
              <c:idx val="3"/>
              <c:layout>
                <c:manualLayout>
                  <c:x val="-0.1109391124871001"/>
                  <c:y val="-9.725906277630415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4EC-4B23-B0AB-300D750BB256}"/>
                </c:ext>
              </c:extLst>
            </c:dLbl>
            <c:dLbl>
              <c:idx val="4"/>
              <c:layout>
                <c:manualLayout>
                  <c:x val="-7.223942208462332E-2"/>
                  <c:y val="-0.1591511936339522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F4EC-4B23-B0AB-300D750BB256}"/>
                </c:ext>
              </c:extLst>
            </c:dLbl>
            <c:dLbl>
              <c:idx val="5"/>
              <c:layout>
                <c:manualLayout>
                  <c:x val="-4.9019607843137254E-2"/>
                  <c:y val="-0.123784261715296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4EC-4B23-B0AB-300D750BB256}"/>
                </c:ext>
              </c:extLst>
            </c:dLbl>
            <c:dLbl>
              <c:idx val="6"/>
              <c:layout>
                <c:manualLayout>
                  <c:x val="5.1599587203302851E-3"/>
                  <c:y val="-0.1547303271441202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F4EC-4B23-B0AB-300D750BB256}"/>
                </c:ext>
              </c:extLst>
            </c:dLbl>
            <c:spPr>
              <a:noFill/>
              <a:ln w="25400">
                <a:noFill/>
              </a:ln>
            </c:spPr>
            <c:showLegendKey val="0"/>
            <c:showVal val="0"/>
            <c:showCatName val="0"/>
            <c:showSerName val="0"/>
            <c:showPercent val="1"/>
            <c:showBubbleSize val="0"/>
            <c:showLeaderLines val="1"/>
            <c:extLst>
              <c:ext xmlns:c15="http://schemas.microsoft.com/office/drawing/2012/chart" uri="{CE6537A1-D6FC-4f65-9D91-7224C49458BB}"/>
            </c:extLst>
          </c:dLbls>
          <c:cat>
            <c:strLit>
              <c:ptCount val="7"/>
              <c:pt idx="0">
                <c:v>1-unit</c:v>
              </c:pt>
              <c:pt idx="1">
                <c:v>2-unit</c:v>
              </c:pt>
              <c:pt idx="2">
                <c:v>3 or 4 units</c:v>
              </c:pt>
              <c:pt idx="3">
                <c:v>5 to 9 units</c:v>
              </c:pt>
              <c:pt idx="4">
                <c:v>10 to 19 units</c:v>
              </c:pt>
              <c:pt idx="5">
                <c:v>20 or more units</c:v>
              </c:pt>
              <c:pt idx="6">
                <c:v>Mobile home</c:v>
              </c:pt>
            </c:strLit>
          </c:cat>
          <c:val>
            <c:numLit>
              <c:formatCode>General</c:formatCode>
              <c:ptCount val="7"/>
              <c:pt idx="0">
                <c:v>273380</c:v>
              </c:pt>
              <c:pt idx="1">
                <c:v>35030</c:v>
              </c:pt>
              <c:pt idx="2">
                <c:v>40775</c:v>
              </c:pt>
              <c:pt idx="3">
                <c:v>27119</c:v>
              </c:pt>
              <c:pt idx="4">
                <c:v>18819</c:v>
              </c:pt>
              <c:pt idx="5">
                <c:v>43666</c:v>
              </c:pt>
              <c:pt idx="6">
                <c:v>2888</c:v>
              </c:pt>
            </c:numLit>
          </c:val>
          <c:extLst>
            <c:ext xmlns:c16="http://schemas.microsoft.com/office/drawing/2014/chart" uri="{C3380CC4-5D6E-409C-BE32-E72D297353CC}">
              <c16:uniqueId val="{00000007-F4EC-4B23-B0AB-300D750BB256}"/>
            </c:ext>
          </c:extLst>
        </c:ser>
        <c:dLbls>
          <c:showLegendKey val="0"/>
          <c:showVal val="0"/>
          <c:showCatName val="0"/>
          <c:showSerName val="0"/>
          <c:showPercent val="0"/>
          <c:showBubbleSize val="0"/>
          <c:showLeaderLines val="1"/>
        </c:dLbls>
        <c:firstSliceAng val="0"/>
        <c:holeSize val="50"/>
      </c:doughnutChart>
      <c:spPr>
        <a:noFill/>
        <a:ln w="25400">
          <a:noFill/>
        </a:ln>
      </c:spPr>
    </c:plotArea>
    <c:legend>
      <c:legendPos val="r"/>
      <c:layout>
        <c:manualLayout>
          <c:xMode val="edge"/>
          <c:yMode val="edge"/>
          <c:x val="0.66075131805502818"/>
          <c:y val="0.18197024634302167"/>
          <c:w val="0.32762753145107298"/>
          <c:h val="0.63605950731395666"/>
        </c:manualLayout>
      </c:layout>
      <c:overlay val="0"/>
    </c:legend>
    <c:plotVisOnly val="1"/>
    <c:dispBlanksAs val="gap"/>
    <c:showDLblsOverMax val="0"/>
  </c:chart>
  <c:spPr>
    <a:solidFill>
      <a:schemeClr val="bg1">
        <a:lumMod val="95000"/>
      </a:schemeClr>
    </a:solidFill>
    <a:ln>
      <a:noFill/>
    </a:ln>
  </c:spPr>
  <c:txPr>
    <a:bodyPr/>
    <a:lstStyle/>
    <a:p>
      <a:pPr>
        <a:defRPr>
          <a:solidFill>
            <a:schemeClr val="tx1"/>
          </a:solidFil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Pounds of Recyclables per Household per Year</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CRCOG Residential</c:v>
                </c:pt>
                <c:pt idx="1">
                  <c:v>U.S. Ave for Automatic Curbside Service</c:v>
                </c:pt>
                <c:pt idx="2">
                  <c:v>High Performing Single Family Programs</c:v>
                </c:pt>
              </c:strCache>
            </c:strRef>
          </c:cat>
          <c:val>
            <c:numRef>
              <c:f>Sheet1!$B$2:$B$4</c:f>
              <c:numCache>
                <c:formatCode>General</c:formatCode>
                <c:ptCount val="3"/>
                <c:pt idx="0">
                  <c:v>421</c:v>
                </c:pt>
                <c:pt idx="1">
                  <c:v>459</c:v>
                </c:pt>
                <c:pt idx="2">
                  <c:v>600</c:v>
                </c:pt>
              </c:numCache>
            </c:numRef>
          </c:val>
          <c:extLst>
            <c:ext xmlns:c16="http://schemas.microsoft.com/office/drawing/2014/chart" uri="{C3380CC4-5D6E-409C-BE32-E72D297353CC}">
              <c16:uniqueId val="{00000000-C043-442D-8F4F-D2387501EB60}"/>
            </c:ext>
          </c:extLst>
        </c:ser>
        <c:dLbls>
          <c:showLegendKey val="0"/>
          <c:showVal val="0"/>
          <c:showCatName val="0"/>
          <c:showSerName val="0"/>
          <c:showPercent val="0"/>
          <c:showBubbleSize val="0"/>
        </c:dLbls>
        <c:gapWidth val="150"/>
        <c:overlap val="100"/>
        <c:axId val="1600678016"/>
        <c:axId val="1600688832"/>
      </c:barChart>
      <c:catAx>
        <c:axId val="160067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0688832"/>
        <c:crosses val="autoZero"/>
        <c:auto val="1"/>
        <c:lblAlgn val="ctr"/>
        <c:lblOffset val="100"/>
        <c:noMultiLvlLbl val="0"/>
      </c:catAx>
      <c:valAx>
        <c:axId val="1600688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Pounds</a:t>
                </a:r>
                <a:r>
                  <a:rPr lang="en-US" baseline="0"/>
                  <a:t> per Household per Year</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0678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80867643116937"/>
          <c:y val="7.8231292517006806E-2"/>
          <c:w val="0.79612108234898316"/>
          <c:h val="0.6881198778724088"/>
        </c:manualLayout>
      </c:layout>
      <c:scatterChart>
        <c:scatterStyle val="lineMarker"/>
        <c:varyColors val="0"/>
        <c:ser>
          <c:idx val="0"/>
          <c:order val="0"/>
          <c:tx>
            <c:v>Acceptance Rates</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'LFs (Refined List)'!$N$2:$N$80</c:f>
              <c:numCache>
                <c:formatCode>0</c:formatCode>
                <c:ptCount val="79"/>
                <c:pt idx="0">
                  <c:v>0</c:v>
                </c:pt>
                <c:pt idx="1">
                  <c:v>6.0908663601126891</c:v>
                </c:pt>
                <c:pt idx="2">
                  <c:v>89.470359075931441</c:v>
                </c:pt>
                <c:pt idx="3">
                  <c:v>90.291195425637838</c:v>
                </c:pt>
                <c:pt idx="4">
                  <c:v>109.59006141177446</c:v>
                </c:pt>
                <c:pt idx="5">
                  <c:v>129.41938375436897</c:v>
                </c:pt>
                <c:pt idx="6">
                  <c:v>134.59198604814748</c:v>
                </c:pt>
                <c:pt idx="7">
                  <c:v>147.83615349221355</c:v>
                </c:pt>
                <c:pt idx="8">
                  <c:v>152.51557578297331</c:v>
                </c:pt>
                <c:pt idx="9">
                  <c:v>153.12734946132272</c:v>
                </c:pt>
                <c:pt idx="10">
                  <c:v>155.27003710835504</c:v>
                </c:pt>
                <c:pt idx="11">
                  <c:v>157.5379158798138</c:v>
                </c:pt>
                <c:pt idx="12">
                  <c:v>159.95288917433831</c:v>
                </c:pt>
                <c:pt idx="13">
                  <c:v>163.47117958524876</c:v>
                </c:pt>
                <c:pt idx="14">
                  <c:v>172.9057528833913</c:v>
                </c:pt>
                <c:pt idx="15">
                  <c:v>180.77840578298955</c:v>
                </c:pt>
                <c:pt idx="16">
                  <c:v>183.39527556652865</c:v>
                </c:pt>
                <c:pt idx="17">
                  <c:v>185.38403576257224</c:v>
                </c:pt>
                <c:pt idx="18">
                  <c:v>193.00156659280177</c:v>
                </c:pt>
                <c:pt idx="19">
                  <c:v>196.12752903495348</c:v>
                </c:pt>
                <c:pt idx="20">
                  <c:v>200.97007474888306</c:v>
                </c:pt>
                <c:pt idx="21">
                  <c:v>202.64558208976098</c:v>
                </c:pt>
                <c:pt idx="22">
                  <c:v>203.65287145119498</c:v>
                </c:pt>
                <c:pt idx="23">
                  <c:v>204.3441032665767</c:v>
                </c:pt>
                <c:pt idx="24">
                  <c:v>205.21340864145975</c:v>
                </c:pt>
                <c:pt idx="25">
                  <c:v>206.20326141217876</c:v>
                </c:pt>
                <c:pt idx="26">
                  <c:v>206.80468667709141</c:v>
                </c:pt>
                <c:pt idx="27">
                  <c:v>207.785252383879</c:v>
                </c:pt>
                <c:pt idx="28">
                  <c:v>210.78363812771505</c:v>
                </c:pt>
                <c:pt idx="29">
                  <c:v>216.30600684554585</c:v>
                </c:pt>
                <c:pt idx="30">
                  <c:v>218.84303055439884</c:v>
                </c:pt>
                <c:pt idx="31">
                  <c:v>220.92229703958515</c:v>
                </c:pt>
                <c:pt idx="32">
                  <c:v>223.58237953845889</c:v>
                </c:pt>
                <c:pt idx="33">
                  <c:v>225.92651297320234</c:v>
                </c:pt>
                <c:pt idx="34">
                  <c:v>227.47187170007192</c:v>
                </c:pt>
                <c:pt idx="35">
                  <c:v>232.06209296819563</c:v>
                </c:pt>
                <c:pt idx="36">
                  <c:v>233.01090756778328</c:v>
                </c:pt>
                <c:pt idx="37">
                  <c:v>237.42082168695376</c:v>
                </c:pt>
                <c:pt idx="38">
                  <c:v>237.66188406089225</c:v>
                </c:pt>
                <c:pt idx="39">
                  <c:v>239.57891148340826</c:v>
                </c:pt>
                <c:pt idx="40">
                  <c:v>239.71835280543164</c:v>
                </c:pt>
                <c:pt idx="41">
                  <c:v>244.43585087452666</c:v>
                </c:pt>
                <c:pt idx="42">
                  <c:v>245.12246052117305</c:v>
                </c:pt>
                <c:pt idx="43">
                  <c:v>247.02822276347646</c:v>
                </c:pt>
                <c:pt idx="44">
                  <c:v>247.32076241697564</c:v>
                </c:pt>
                <c:pt idx="45">
                  <c:v>254.42928879408157</c:v>
                </c:pt>
                <c:pt idx="46">
                  <c:v>255.59223469246845</c:v>
                </c:pt>
                <c:pt idx="47">
                  <c:v>256.4237667237972</c:v>
                </c:pt>
                <c:pt idx="48">
                  <c:v>256.71439008771517</c:v>
                </c:pt>
                <c:pt idx="49">
                  <c:v>262.63793036277656</c:v>
                </c:pt>
                <c:pt idx="50">
                  <c:v>269.31382196148911</c:v>
                </c:pt>
                <c:pt idx="51">
                  <c:v>272.58735489510605</c:v>
                </c:pt>
                <c:pt idx="52">
                  <c:v>275.67750455330525</c:v>
                </c:pt>
                <c:pt idx="53">
                  <c:v>276.30486635441474</c:v>
                </c:pt>
                <c:pt idx="54">
                  <c:v>279.00277584799187</c:v>
                </c:pt>
                <c:pt idx="55">
                  <c:v>280.59424303230304</c:v>
                </c:pt>
                <c:pt idx="56">
                  <c:v>281.85130216952047</c:v>
                </c:pt>
                <c:pt idx="57">
                  <c:v>282.79746552617752</c:v>
                </c:pt>
                <c:pt idx="58">
                  <c:v>283.18949925834346</c:v>
                </c:pt>
                <c:pt idx="59">
                  <c:v>295.37406653547697</c:v>
                </c:pt>
                <c:pt idx="60">
                  <c:v>298.25596265005868</c:v>
                </c:pt>
                <c:pt idx="61">
                  <c:v>298.9960494033898</c:v>
                </c:pt>
                <c:pt idx="62">
                  <c:v>300.47708405379399</c:v>
                </c:pt>
                <c:pt idx="63">
                  <c:v>303.70888926150599</c:v>
                </c:pt>
                <c:pt idx="64">
                  <c:v>305.91034715070822</c:v>
                </c:pt>
                <c:pt idx="65">
                  <c:v>306.24124736413393</c:v>
                </c:pt>
                <c:pt idx="66">
                  <c:v>307.41001471343498</c:v>
                </c:pt>
                <c:pt idx="67">
                  <c:v>309.16210374360304</c:v>
                </c:pt>
                <c:pt idx="68">
                  <c:v>310.34800248632098</c:v>
                </c:pt>
                <c:pt idx="69">
                  <c:v>312.72591719920104</c:v>
                </c:pt>
                <c:pt idx="70">
                  <c:v>316.54054920466768</c:v>
                </c:pt>
                <c:pt idx="71">
                  <c:v>318.96608606145639</c:v>
                </c:pt>
                <c:pt idx="72">
                  <c:v>330.32119176196284</c:v>
                </c:pt>
                <c:pt idx="73">
                  <c:v>335.4111386244499</c:v>
                </c:pt>
                <c:pt idx="74">
                  <c:v>337.43708207268577</c:v>
                </c:pt>
                <c:pt idx="75">
                  <c:v>341.00177289598042</c:v>
                </c:pt>
                <c:pt idx="76">
                  <c:v>341.95067098194471</c:v>
                </c:pt>
                <c:pt idx="77">
                  <c:v>343.54417375670744</c:v>
                </c:pt>
                <c:pt idx="78">
                  <c:v>347.27757901384354</c:v>
                </c:pt>
              </c:numCache>
            </c:numRef>
          </c:xVal>
          <c:yVal>
            <c:numRef>
              <c:f>'LFs (Refined List)'!$V$2:$V$80</c:f>
              <c:numCache>
                <c:formatCode>#,##0</c:formatCode>
                <c:ptCount val="79"/>
                <c:pt idx="0" formatCode="General">
                  <c:v>0</c:v>
                </c:pt>
                <c:pt idx="1">
                  <c:v>416.74246575342465</c:v>
                </c:pt>
                <c:pt idx="2">
                  <c:v>629.33150684931502</c:v>
                </c:pt>
                <c:pt idx="3">
                  <c:v>1526.9506849315067</c:v>
                </c:pt>
                <c:pt idx="4">
                  <c:v>2463.9643835616434</c:v>
                </c:pt>
                <c:pt idx="5">
                  <c:v>2608.1863013698626</c:v>
                </c:pt>
                <c:pt idx="6">
                  <c:v>6676.4986301369863</c:v>
                </c:pt>
                <c:pt idx="7">
                  <c:v>8458.8794520547945</c:v>
                </c:pt>
                <c:pt idx="8">
                  <c:v>8926.4520547945212</c:v>
                </c:pt>
                <c:pt idx="9">
                  <c:v>13046.561643835617</c:v>
                </c:pt>
                <c:pt idx="10">
                  <c:v>22884.027397260274</c:v>
                </c:pt>
                <c:pt idx="11">
                  <c:v>23864.843835616437</c:v>
                </c:pt>
                <c:pt idx="12">
                  <c:v>25462.983561643836</c:v>
                </c:pt>
                <c:pt idx="13">
                  <c:v>25534.717808219179</c:v>
                </c:pt>
                <c:pt idx="14">
                  <c:v>26253.191780821919</c:v>
                </c:pt>
                <c:pt idx="15">
                  <c:v>26976.334246575345</c:v>
                </c:pt>
                <c:pt idx="16">
                  <c:v>27111.652054794522</c:v>
                </c:pt>
                <c:pt idx="17">
                  <c:v>27704.572602739729</c:v>
                </c:pt>
                <c:pt idx="18">
                  <c:v>28860.493150684935</c:v>
                </c:pt>
                <c:pt idx="19">
                  <c:v>29549.739726027401</c:v>
                </c:pt>
                <c:pt idx="20">
                  <c:v>32671.454794520552</c:v>
                </c:pt>
                <c:pt idx="21">
                  <c:v>33531.909589041097</c:v>
                </c:pt>
                <c:pt idx="22">
                  <c:v>33807.706849315073</c:v>
                </c:pt>
                <c:pt idx="23">
                  <c:v>35031.95890410959</c:v>
                </c:pt>
                <c:pt idx="24">
                  <c:v>35824.605479452053</c:v>
                </c:pt>
                <c:pt idx="25">
                  <c:v>37096.024657534246</c:v>
                </c:pt>
                <c:pt idx="26">
                  <c:v>38138.709589041093</c:v>
                </c:pt>
                <c:pt idx="27">
                  <c:v>38924.101369863012</c:v>
                </c:pt>
                <c:pt idx="28">
                  <c:v>39269.065753424657</c:v>
                </c:pt>
                <c:pt idx="29">
                  <c:v>39516.843835616441</c:v>
                </c:pt>
                <c:pt idx="30">
                  <c:v>40915.282191780825</c:v>
                </c:pt>
                <c:pt idx="31">
                  <c:v>41269.156164383567</c:v>
                </c:pt>
                <c:pt idx="32">
                  <c:v>42099.205479452059</c:v>
                </c:pt>
                <c:pt idx="33">
                  <c:v>42380.002739726035</c:v>
                </c:pt>
                <c:pt idx="34">
                  <c:v>47153.484931506857</c:v>
                </c:pt>
                <c:pt idx="35">
                  <c:v>47253.7589041096</c:v>
                </c:pt>
                <c:pt idx="36">
                  <c:v>48387.221917808231</c:v>
                </c:pt>
                <c:pt idx="37">
                  <c:v>50749.723287671244</c:v>
                </c:pt>
                <c:pt idx="38">
                  <c:v>51108.268493150696</c:v>
                </c:pt>
                <c:pt idx="39">
                  <c:v>53761.263013698641</c:v>
                </c:pt>
                <c:pt idx="40">
                  <c:v>53808.063013698644</c:v>
                </c:pt>
                <c:pt idx="41">
                  <c:v>54243.695890410971</c:v>
                </c:pt>
                <c:pt idx="42">
                  <c:v>54826.589041095904</c:v>
                </c:pt>
                <c:pt idx="43">
                  <c:v>55909.742465753436</c:v>
                </c:pt>
                <c:pt idx="44">
                  <c:v>56598.120547945218</c:v>
                </c:pt>
                <c:pt idx="45">
                  <c:v>57837.246575342477</c:v>
                </c:pt>
                <c:pt idx="46">
                  <c:v>58284.331506849325</c:v>
                </c:pt>
                <c:pt idx="47">
                  <c:v>58636.246575342477</c:v>
                </c:pt>
                <c:pt idx="48">
                  <c:v>61985.156164383574</c:v>
                </c:pt>
                <c:pt idx="49">
                  <c:v>62806.208219178094</c:v>
                </c:pt>
                <c:pt idx="50">
                  <c:v>63162.926027397269</c:v>
                </c:pt>
                <c:pt idx="51">
                  <c:v>63304.315068493161</c:v>
                </c:pt>
                <c:pt idx="52">
                  <c:v>64905.802739726038</c:v>
                </c:pt>
                <c:pt idx="53">
                  <c:v>66108.005479452069</c:v>
                </c:pt>
                <c:pt idx="54">
                  <c:v>66439.347945205489</c:v>
                </c:pt>
                <c:pt idx="55">
                  <c:v>66860.153424657547</c:v>
                </c:pt>
                <c:pt idx="56">
                  <c:v>66955.030136986315</c:v>
                </c:pt>
                <c:pt idx="57">
                  <c:v>68941.320547945215</c:v>
                </c:pt>
                <c:pt idx="58">
                  <c:v>70926.347945205489</c:v>
                </c:pt>
                <c:pt idx="59">
                  <c:v>71858.254794520559</c:v>
                </c:pt>
                <c:pt idx="60">
                  <c:v>74147.03561643837</c:v>
                </c:pt>
                <c:pt idx="61">
                  <c:v>74224.821917808236</c:v>
                </c:pt>
                <c:pt idx="62">
                  <c:v>75208.46575342468</c:v>
                </c:pt>
                <c:pt idx="63">
                  <c:v>76962.416438356187</c:v>
                </c:pt>
                <c:pt idx="64">
                  <c:v>77335.035616438385</c:v>
                </c:pt>
                <c:pt idx="65">
                  <c:v>77435.246575342491</c:v>
                </c:pt>
                <c:pt idx="66">
                  <c:v>77809.627397260294</c:v>
                </c:pt>
                <c:pt idx="67">
                  <c:v>78051.956164383577</c:v>
                </c:pt>
                <c:pt idx="68">
                  <c:v>79354.345205479462</c:v>
                </c:pt>
                <c:pt idx="69">
                  <c:v>79696.717808219182</c:v>
                </c:pt>
                <c:pt idx="70">
                  <c:v>80021.526027397267</c:v>
                </c:pt>
                <c:pt idx="71">
                  <c:v>80597.556164383568</c:v>
                </c:pt>
                <c:pt idx="72">
                  <c:v>81622.402739726036</c:v>
                </c:pt>
                <c:pt idx="73">
                  <c:v>81985.482191780829</c:v>
                </c:pt>
                <c:pt idx="74">
                  <c:v>82331.186301369875</c:v>
                </c:pt>
                <c:pt idx="75">
                  <c:v>82578.726027397279</c:v>
                </c:pt>
                <c:pt idx="76">
                  <c:v>83123.202739726039</c:v>
                </c:pt>
                <c:pt idx="77">
                  <c:v>87370.257534246586</c:v>
                </c:pt>
                <c:pt idx="78">
                  <c:v>87633.260273972614</c:v>
                </c:pt>
              </c:numCache>
            </c:numRef>
          </c:yVal>
          <c:smooth val="0"/>
          <c:extLst>
            <c:ext xmlns:c16="http://schemas.microsoft.com/office/drawing/2014/chart" uri="{C3380CC4-5D6E-409C-BE32-E72D297353CC}">
              <c16:uniqueId val="{00000000-CE43-4225-91A8-268D48E44DBC}"/>
            </c:ext>
          </c:extLst>
        </c:ser>
        <c:ser>
          <c:idx val="1"/>
          <c:order val="1"/>
          <c:tx>
            <c:v>Permitted Capacity</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'LFs (Refined List)'!$N$2:$N$80</c:f>
              <c:numCache>
                <c:formatCode>0</c:formatCode>
                <c:ptCount val="79"/>
                <c:pt idx="0">
                  <c:v>0</c:v>
                </c:pt>
                <c:pt idx="1">
                  <c:v>6.0908663601126891</c:v>
                </c:pt>
                <c:pt idx="2">
                  <c:v>89.470359075931441</c:v>
                </c:pt>
                <c:pt idx="3">
                  <c:v>90.291195425637838</c:v>
                </c:pt>
                <c:pt idx="4">
                  <c:v>109.59006141177446</c:v>
                </c:pt>
                <c:pt idx="5">
                  <c:v>129.41938375436897</c:v>
                </c:pt>
                <c:pt idx="6">
                  <c:v>134.59198604814748</c:v>
                </c:pt>
                <c:pt idx="7">
                  <c:v>147.83615349221355</c:v>
                </c:pt>
                <c:pt idx="8">
                  <c:v>152.51557578297331</c:v>
                </c:pt>
                <c:pt idx="9">
                  <c:v>153.12734946132272</c:v>
                </c:pt>
                <c:pt idx="10">
                  <c:v>155.27003710835504</c:v>
                </c:pt>
                <c:pt idx="11">
                  <c:v>157.5379158798138</c:v>
                </c:pt>
                <c:pt idx="12">
                  <c:v>159.95288917433831</c:v>
                </c:pt>
                <c:pt idx="13">
                  <c:v>163.47117958524876</c:v>
                </c:pt>
                <c:pt idx="14">
                  <c:v>172.9057528833913</c:v>
                </c:pt>
                <c:pt idx="15">
                  <c:v>180.77840578298955</c:v>
                </c:pt>
                <c:pt idx="16">
                  <c:v>183.39527556652865</c:v>
                </c:pt>
                <c:pt idx="17">
                  <c:v>185.38403576257224</c:v>
                </c:pt>
                <c:pt idx="18">
                  <c:v>193.00156659280177</c:v>
                </c:pt>
                <c:pt idx="19">
                  <c:v>196.12752903495348</c:v>
                </c:pt>
                <c:pt idx="20">
                  <c:v>200.97007474888306</c:v>
                </c:pt>
                <c:pt idx="21">
                  <c:v>202.64558208976098</c:v>
                </c:pt>
                <c:pt idx="22">
                  <c:v>203.65287145119498</c:v>
                </c:pt>
                <c:pt idx="23">
                  <c:v>204.3441032665767</c:v>
                </c:pt>
                <c:pt idx="24">
                  <c:v>205.21340864145975</c:v>
                </c:pt>
                <c:pt idx="25">
                  <c:v>206.20326141217876</c:v>
                </c:pt>
                <c:pt idx="26">
                  <c:v>206.80468667709141</c:v>
                </c:pt>
                <c:pt idx="27">
                  <c:v>207.785252383879</c:v>
                </c:pt>
                <c:pt idx="28">
                  <c:v>210.78363812771505</c:v>
                </c:pt>
                <c:pt idx="29">
                  <c:v>216.30600684554585</c:v>
                </c:pt>
                <c:pt idx="30">
                  <c:v>218.84303055439884</c:v>
                </c:pt>
                <c:pt idx="31">
                  <c:v>220.92229703958515</c:v>
                </c:pt>
                <c:pt idx="32">
                  <c:v>223.58237953845889</c:v>
                </c:pt>
                <c:pt idx="33">
                  <c:v>225.92651297320234</c:v>
                </c:pt>
                <c:pt idx="34">
                  <c:v>227.47187170007192</c:v>
                </c:pt>
                <c:pt idx="35">
                  <c:v>232.06209296819563</c:v>
                </c:pt>
                <c:pt idx="36">
                  <c:v>233.01090756778328</c:v>
                </c:pt>
                <c:pt idx="37">
                  <c:v>237.42082168695376</c:v>
                </c:pt>
                <c:pt idx="38">
                  <c:v>237.66188406089225</c:v>
                </c:pt>
                <c:pt idx="39">
                  <c:v>239.57891148340826</c:v>
                </c:pt>
                <c:pt idx="40">
                  <c:v>239.71835280543164</c:v>
                </c:pt>
                <c:pt idx="41">
                  <c:v>244.43585087452666</c:v>
                </c:pt>
                <c:pt idx="42">
                  <c:v>245.12246052117305</c:v>
                </c:pt>
                <c:pt idx="43">
                  <c:v>247.02822276347646</c:v>
                </c:pt>
                <c:pt idx="44">
                  <c:v>247.32076241697564</c:v>
                </c:pt>
                <c:pt idx="45">
                  <c:v>254.42928879408157</c:v>
                </c:pt>
                <c:pt idx="46">
                  <c:v>255.59223469246845</c:v>
                </c:pt>
                <c:pt idx="47">
                  <c:v>256.4237667237972</c:v>
                </c:pt>
                <c:pt idx="48">
                  <c:v>256.71439008771517</c:v>
                </c:pt>
                <c:pt idx="49">
                  <c:v>262.63793036277656</c:v>
                </c:pt>
                <c:pt idx="50">
                  <c:v>269.31382196148911</c:v>
                </c:pt>
                <c:pt idx="51">
                  <c:v>272.58735489510605</c:v>
                </c:pt>
                <c:pt idx="52">
                  <c:v>275.67750455330525</c:v>
                </c:pt>
                <c:pt idx="53">
                  <c:v>276.30486635441474</c:v>
                </c:pt>
                <c:pt idx="54">
                  <c:v>279.00277584799187</c:v>
                </c:pt>
                <c:pt idx="55">
                  <c:v>280.59424303230304</c:v>
                </c:pt>
                <c:pt idx="56">
                  <c:v>281.85130216952047</c:v>
                </c:pt>
                <c:pt idx="57">
                  <c:v>282.79746552617752</c:v>
                </c:pt>
                <c:pt idx="58">
                  <c:v>283.18949925834346</c:v>
                </c:pt>
                <c:pt idx="59">
                  <c:v>295.37406653547697</c:v>
                </c:pt>
                <c:pt idx="60">
                  <c:v>298.25596265005868</c:v>
                </c:pt>
                <c:pt idx="61">
                  <c:v>298.9960494033898</c:v>
                </c:pt>
                <c:pt idx="62">
                  <c:v>300.47708405379399</c:v>
                </c:pt>
                <c:pt idx="63">
                  <c:v>303.70888926150599</c:v>
                </c:pt>
                <c:pt idx="64">
                  <c:v>305.91034715070822</c:v>
                </c:pt>
                <c:pt idx="65">
                  <c:v>306.24124736413393</c:v>
                </c:pt>
                <c:pt idx="66">
                  <c:v>307.41001471343498</c:v>
                </c:pt>
                <c:pt idx="67">
                  <c:v>309.16210374360304</c:v>
                </c:pt>
                <c:pt idx="68">
                  <c:v>310.34800248632098</c:v>
                </c:pt>
                <c:pt idx="69">
                  <c:v>312.72591719920104</c:v>
                </c:pt>
                <c:pt idx="70">
                  <c:v>316.54054920466768</c:v>
                </c:pt>
                <c:pt idx="71">
                  <c:v>318.96608606145639</c:v>
                </c:pt>
                <c:pt idx="72">
                  <c:v>330.32119176196284</c:v>
                </c:pt>
                <c:pt idx="73">
                  <c:v>335.4111386244499</c:v>
                </c:pt>
                <c:pt idx="74">
                  <c:v>337.43708207268577</c:v>
                </c:pt>
                <c:pt idx="75">
                  <c:v>341.00177289598042</c:v>
                </c:pt>
                <c:pt idx="76">
                  <c:v>341.95067098194471</c:v>
                </c:pt>
                <c:pt idx="77">
                  <c:v>343.54417375670744</c:v>
                </c:pt>
                <c:pt idx="78">
                  <c:v>347.27757901384354</c:v>
                </c:pt>
              </c:numCache>
            </c:numRef>
          </c:xVal>
          <c:yVal>
            <c:numRef>
              <c:f>'LFs (Refined List)'!$W$2:$W$80</c:f>
              <c:numCache>
                <c:formatCode>#,##0</c:formatCode>
                <c:ptCount val="79"/>
                <c:pt idx="0" formatCode="General">
                  <c:v>0</c:v>
                </c:pt>
                <c:pt idx="1">
                  <c:v>520.92808219178073</c:v>
                </c:pt>
                <c:pt idx="2">
                  <c:v>740.10616438356158</c:v>
                </c:pt>
                <c:pt idx="3">
                  <c:v>1441.0376712328766</c:v>
                </c:pt>
                <c:pt idx="4">
                  <c:v>1555.0376712328766</c:v>
                </c:pt>
                <c:pt idx="5">
                  <c:v>1712.4109589041095</c:v>
                </c:pt>
                <c:pt idx="6">
                  <c:v>6797.801369863013</c:v>
                </c:pt>
                <c:pt idx="7">
                  <c:v>9797.801369863013</c:v>
                </c:pt>
                <c:pt idx="8">
                  <c:v>11797.801369863013</c:v>
                </c:pt>
                <c:pt idx="9">
                  <c:v>19297.801369863013</c:v>
                </c:pt>
                <c:pt idx="10">
                  <c:v>39297.801369863009</c:v>
                </c:pt>
                <c:pt idx="11">
                  <c:v>41097.801369863009</c:v>
                </c:pt>
                <c:pt idx="12">
                  <c:v>46597.801369863009</c:v>
                </c:pt>
                <c:pt idx="13">
                  <c:v>46711.636986301368</c:v>
                </c:pt>
                <c:pt idx="14">
                  <c:v>47347.253424657531</c:v>
                </c:pt>
                <c:pt idx="15">
                  <c:v>48251.181506849309</c:v>
                </c:pt>
                <c:pt idx="16">
                  <c:v>48373.099315068488</c:v>
                </c:pt>
                <c:pt idx="17">
                  <c:v>52213.099315068488</c:v>
                </c:pt>
                <c:pt idx="18">
                  <c:v>53813.099315068488</c:v>
                </c:pt>
                <c:pt idx="19">
                  <c:v>55063.099315068488</c:v>
                </c:pt>
                <c:pt idx="20">
                  <c:v>65063.099315068488</c:v>
                </c:pt>
                <c:pt idx="21">
                  <c:v>66134.72506849315</c:v>
                </c:pt>
                <c:pt idx="22">
                  <c:v>67884.72506849315</c:v>
                </c:pt>
                <c:pt idx="23">
                  <c:v>69357.027435144599</c:v>
                </c:pt>
                <c:pt idx="24">
                  <c:v>71207.027435144599</c:v>
                </c:pt>
                <c:pt idx="25">
                  <c:v>76207.027435144599</c:v>
                </c:pt>
                <c:pt idx="26">
                  <c:v>77349.493188569249</c:v>
                </c:pt>
                <c:pt idx="27">
                  <c:v>78034.424695418566</c:v>
                </c:pt>
                <c:pt idx="28">
                  <c:v>78734.424695418566</c:v>
                </c:pt>
                <c:pt idx="29">
                  <c:v>79008.397298158292</c:v>
                </c:pt>
                <c:pt idx="30">
                  <c:v>80652.232914596651</c:v>
                </c:pt>
                <c:pt idx="31">
                  <c:v>81752.232914596651</c:v>
                </c:pt>
                <c:pt idx="32">
                  <c:v>83752.232914596651</c:v>
                </c:pt>
                <c:pt idx="33">
                  <c:v>84233.076110943686</c:v>
                </c:pt>
                <c:pt idx="34">
                  <c:v>90233.076110943686</c:v>
                </c:pt>
                <c:pt idx="35">
                  <c:v>90419.940892207494</c:v>
                </c:pt>
                <c:pt idx="36">
                  <c:v>92419.940892207494</c:v>
                </c:pt>
                <c:pt idx="37">
                  <c:v>94942.387467549954</c:v>
                </c:pt>
                <c:pt idx="38">
                  <c:v>95284.853220974604</c:v>
                </c:pt>
                <c:pt idx="39">
                  <c:v>100284.8532209746</c:v>
                </c:pt>
                <c:pt idx="40">
                  <c:v>100326.17557952135</c:v>
                </c:pt>
                <c:pt idx="41">
                  <c:v>101029.46325075423</c:v>
                </c:pt>
                <c:pt idx="42">
                  <c:v>102529.46325075423</c:v>
                </c:pt>
                <c:pt idx="43">
                  <c:v>103762.339963083</c:v>
                </c:pt>
                <c:pt idx="44">
                  <c:v>104185.21526582273</c:v>
                </c:pt>
                <c:pt idx="45">
                  <c:v>105553.86418950179</c:v>
                </c:pt>
                <c:pt idx="46">
                  <c:v>106213.04775114563</c:v>
                </c:pt>
                <c:pt idx="47">
                  <c:v>106573.17462153551</c:v>
                </c:pt>
                <c:pt idx="48">
                  <c:v>109517.01023797387</c:v>
                </c:pt>
                <c:pt idx="49">
                  <c:v>109887.72456747905</c:v>
                </c:pt>
                <c:pt idx="50">
                  <c:v>111258.23895104069</c:v>
                </c:pt>
                <c:pt idx="51">
                  <c:v>111540.79895104069</c:v>
                </c:pt>
                <c:pt idx="52">
                  <c:v>114490.79895104069</c:v>
                </c:pt>
                <c:pt idx="53">
                  <c:v>115764.77155378042</c:v>
                </c:pt>
                <c:pt idx="54">
                  <c:v>116138.8905243076</c:v>
                </c:pt>
                <c:pt idx="55">
                  <c:v>116427.58983937609</c:v>
                </c:pt>
                <c:pt idx="56">
                  <c:v>116568.93354242513</c:v>
                </c:pt>
                <c:pt idx="57">
                  <c:v>118209.0705287265</c:v>
                </c:pt>
                <c:pt idx="58">
                  <c:v>120209.0705287265</c:v>
                </c:pt>
                <c:pt idx="59">
                  <c:v>120846.37354242514</c:v>
                </c:pt>
                <c:pt idx="60">
                  <c:v>123172.01753024857</c:v>
                </c:pt>
                <c:pt idx="61">
                  <c:v>123214.56730193808</c:v>
                </c:pt>
                <c:pt idx="62">
                  <c:v>128214.56730193808</c:v>
                </c:pt>
                <c:pt idx="63">
                  <c:v>129858.40291837644</c:v>
                </c:pt>
                <c:pt idx="64">
                  <c:v>130195.04250741753</c:v>
                </c:pt>
                <c:pt idx="65">
                  <c:v>130282.45988755452</c:v>
                </c:pt>
                <c:pt idx="66">
                  <c:v>136282.45988755452</c:v>
                </c:pt>
                <c:pt idx="67">
                  <c:v>137282.45988755452</c:v>
                </c:pt>
                <c:pt idx="68">
                  <c:v>143282.45988755452</c:v>
                </c:pt>
                <c:pt idx="69">
                  <c:v>143567.57153139013</c:v>
                </c:pt>
                <c:pt idx="70">
                  <c:v>143973.58180536274</c:v>
                </c:pt>
                <c:pt idx="71">
                  <c:v>144593.44481906138</c:v>
                </c:pt>
                <c:pt idx="72">
                  <c:v>145632.51877026001</c:v>
                </c:pt>
                <c:pt idx="73">
                  <c:v>148132.51877026001</c:v>
                </c:pt>
                <c:pt idx="74">
                  <c:v>148708.80596912632</c:v>
                </c:pt>
                <c:pt idx="75">
                  <c:v>152008.80596912632</c:v>
                </c:pt>
                <c:pt idx="76">
                  <c:v>152395.58575064183</c:v>
                </c:pt>
                <c:pt idx="77">
                  <c:v>154521.72431228566</c:v>
                </c:pt>
                <c:pt idx="78">
                  <c:v>156021.72431228566</c:v>
                </c:pt>
              </c:numCache>
            </c:numRef>
          </c:yVal>
          <c:smooth val="0"/>
          <c:extLst>
            <c:ext xmlns:c16="http://schemas.microsoft.com/office/drawing/2014/chart" uri="{C3380CC4-5D6E-409C-BE32-E72D297353CC}">
              <c16:uniqueId val="{00000001-CE43-4225-91A8-268D48E44DBC}"/>
            </c:ext>
          </c:extLst>
        </c:ser>
        <c:dLbls>
          <c:showLegendKey val="0"/>
          <c:showVal val="0"/>
          <c:showCatName val="0"/>
          <c:showSerName val="0"/>
          <c:showPercent val="0"/>
          <c:showBubbleSize val="0"/>
        </c:dLbls>
        <c:axId val="1232047232"/>
        <c:axId val="1232043624"/>
      </c:scatterChart>
      <c:valAx>
        <c:axId val="12320472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Georgia" panose="02040502050405020303" pitchFamily="18" charset="0"/>
                    <a:ea typeface="+mn-ea"/>
                    <a:cs typeface="+mn-cs"/>
                  </a:defRPr>
                </a:pPr>
                <a:r>
                  <a:rPr lang="en-US"/>
                  <a:t>Distance from CRCOG (miles)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1232043624"/>
        <c:crosses val="autoZero"/>
        <c:crossBetween val="midCat"/>
      </c:valAx>
      <c:valAx>
        <c:axId val="1232043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eorgia" panose="02040502050405020303" pitchFamily="18" charset="0"/>
                    <a:ea typeface="+mn-ea"/>
                    <a:cs typeface="+mn-cs"/>
                  </a:defRPr>
                </a:pPr>
                <a:r>
                  <a:rPr lang="en-US"/>
                  <a:t>Waste Acceptance Rates (Tons / Day)</a:t>
                </a:r>
              </a:p>
            </c:rich>
          </c:tx>
          <c:layout>
            <c:manualLayout>
              <c:xMode val="edge"/>
              <c:yMode val="edge"/>
              <c:x val="2.7952480782669462E-2"/>
              <c:y val="0.1235325941400182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12320472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FFFFFF">
        <a:lumMod val="95000"/>
      </a:srgbClr>
    </a:solidFill>
    <a:ln w="9525" cap="flat" cmpd="sng" algn="ctr">
      <a:solidFill>
        <a:schemeClr val="tx1">
          <a:lumMod val="15000"/>
          <a:lumOff val="85000"/>
        </a:schemeClr>
      </a:solidFill>
      <a:round/>
    </a:ln>
    <a:effectLst/>
  </c:spPr>
  <c:txPr>
    <a:bodyPr/>
    <a:lstStyle/>
    <a:p>
      <a:pPr>
        <a:defRPr>
          <a:latin typeface="Georgia" panose="02040502050405020303"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03774528183977"/>
          <c:y val="3.007518796992481E-2"/>
          <c:w val="0.75839660667416575"/>
          <c:h val="0.76876270848919004"/>
        </c:manualLayout>
      </c:layout>
      <c:scatterChart>
        <c:scatterStyle val="lineMarker"/>
        <c:varyColors val="0"/>
        <c:ser>
          <c:idx val="0"/>
          <c:order val="0"/>
          <c:tx>
            <c:v>Permitted Capacity</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'WTE Facilities'!$K$2:$K$39</c:f>
              <c:numCache>
                <c:formatCode>0</c:formatCode>
                <c:ptCount val="38"/>
                <c:pt idx="0">
                  <c:v>0</c:v>
                </c:pt>
                <c:pt idx="1">
                  <c:v>1.4046310779005711</c:v>
                </c:pt>
                <c:pt idx="2">
                  <c:v>14.426763063259877</c:v>
                </c:pt>
                <c:pt idx="3">
                  <c:v>23.361862289289302</c:v>
                </c:pt>
                <c:pt idx="4">
                  <c:v>35.19168381632214</c:v>
                </c:pt>
                <c:pt idx="5">
                  <c:v>37.044906729637937</c:v>
                </c:pt>
                <c:pt idx="6">
                  <c:v>49.536432468394175</c:v>
                </c:pt>
                <c:pt idx="7">
                  <c:v>55.722316770371513</c:v>
                </c:pt>
                <c:pt idx="8">
                  <c:v>56.619180569154835</c:v>
                </c:pt>
                <c:pt idx="9">
                  <c:v>65.693781546131731</c:v>
                </c:pt>
                <c:pt idx="10">
                  <c:v>68.410458262014558</c:v>
                </c:pt>
                <c:pt idx="11">
                  <c:v>70.753185445247553</c:v>
                </c:pt>
                <c:pt idx="12">
                  <c:v>73.394038287938969</c:v>
                </c:pt>
                <c:pt idx="13">
                  <c:v>79.67105707802709</c:v>
                </c:pt>
                <c:pt idx="14">
                  <c:v>85.041062291215667</c:v>
                </c:pt>
                <c:pt idx="15">
                  <c:v>97.442068087446728</c:v>
                </c:pt>
                <c:pt idx="16">
                  <c:v>99.167276138508896</c:v>
                </c:pt>
                <c:pt idx="17">
                  <c:v>103.12907269316706</c:v>
                </c:pt>
                <c:pt idx="18">
                  <c:v>103.91800427627074</c:v>
                </c:pt>
                <c:pt idx="19">
                  <c:v>105.59718591151733</c:v>
                </c:pt>
                <c:pt idx="20">
                  <c:v>114.99267884819633</c:v>
                </c:pt>
                <c:pt idx="21">
                  <c:v>116.57495117287384</c:v>
                </c:pt>
                <c:pt idx="22">
                  <c:v>119.5620814078198</c:v>
                </c:pt>
                <c:pt idx="23">
                  <c:v>155.0552975371852</c:v>
                </c:pt>
                <c:pt idx="24">
                  <c:v>164.88446644568634</c:v>
                </c:pt>
                <c:pt idx="25">
                  <c:v>177.01683905773078</c:v>
                </c:pt>
                <c:pt idx="26">
                  <c:v>179.11507766138874</c:v>
                </c:pt>
                <c:pt idx="27">
                  <c:v>180.48456860280973</c:v>
                </c:pt>
                <c:pt idx="28">
                  <c:v>183.06005762914609</c:v>
                </c:pt>
                <c:pt idx="29">
                  <c:v>194.63374221459202</c:v>
                </c:pt>
                <c:pt idx="30">
                  <c:v>195.37838672821837</c:v>
                </c:pt>
                <c:pt idx="31">
                  <c:v>220.10917995494873</c:v>
                </c:pt>
                <c:pt idx="32">
                  <c:v>237.36068705099731</c:v>
                </c:pt>
                <c:pt idx="33">
                  <c:v>241.5621792013583</c:v>
                </c:pt>
                <c:pt idx="34">
                  <c:v>243.4163460233342</c:v>
                </c:pt>
                <c:pt idx="35">
                  <c:v>269.5272118866074</c:v>
                </c:pt>
                <c:pt idx="36">
                  <c:v>282.71746368254986</c:v>
                </c:pt>
                <c:pt idx="37">
                  <c:v>307.00939929751934</c:v>
                </c:pt>
              </c:numCache>
            </c:numRef>
          </c:xVal>
          <c:yVal>
            <c:numRef>
              <c:f>'WTE Facilities'!$X$2:$X$39</c:f>
              <c:numCache>
                <c:formatCode>0</c:formatCode>
                <c:ptCount val="38"/>
                <c:pt idx="0">
                  <c:v>0</c:v>
                </c:pt>
                <c:pt idx="1">
                  <c:v>2435.3095890410959</c:v>
                </c:pt>
                <c:pt idx="2">
                  <c:v>3151.3095890410959</c:v>
                </c:pt>
                <c:pt idx="3">
                  <c:v>3511.3095890410959</c:v>
                </c:pt>
                <c:pt idx="4">
                  <c:v>3792.709589041096</c:v>
                </c:pt>
                <c:pt idx="5">
                  <c:v>4481.7095890410965</c:v>
                </c:pt>
                <c:pt idx="6">
                  <c:v>5231.7095890410965</c:v>
                </c:pt>
                <c:pt idx="7">
                  <c:v>5471.7095890410965</c:v>
                </c:pt>
                <c:pt idx="8">
                  <c:v>6971.7095890410965</c:v>
                </c:pt>
                <c:pt idx="9">
                  <c:v>7421.7095890410965</c:v>
                </c:pt>
                <c:pt idx="10">
                  <c:v>8381.7095890410965</c:v>
                </c:pt>
                <c:pt idx="11">
                  <c:v>8866.7095890410965</c:v>
                </c:pt>
                <c:pt idx="12">
                  <c:v>10811.915068493152</c:v>
                </c:pt>
                <c:pt idx="13">
                  <c:v>11599.427397260275</c:v>
                </c:pt>
                <c:pt idx="14">
                  <c:v>14449.427397260275</c:v>
                </c:pt>
                <c:pt idx="15">
                  <c:v>20249.427397260275</c:v>
                </c:pt>
                <c:pt idx="16">
                  <c:v>21749.427397260275</c:v>
                </c:pt>
                <c:pt idx="17">
                  <c:v>24449.427397260275</c:v>
                </c:pt>
                <c:pt idx="18">
                  <c:v>25949.427397260275</c:v>
                </c:pt>
                <c:pt idx="19">
                  <c:v>27599.427397260275</c:v>
                </c:pt>
                <c:pt idx="20">
                  <c:v>29139.427397260275</c:v>
                </c:pt>
                <c:pt idx="21">
                  <c:v>29739.427397260275</c:v>
                </c:pt>
                <c:pt idx="22">
                  <c:v>30314.495890410959</c:v>
                </c:pt>
                <c:pt idx="23">
                  <c:v>31814.495890410959</c:v>
                </c:pt>
                <c:pt idx="24">
                  <c:v>32414.495890410959</c:v>
                </c:pt>
                <c:pt idx="25">
                  <c:v>32880.249315068497</c:v>
                </c:pt>
                <c:pt idx="26">
                  <c:v>34096.249315068497</c:v>
                </c:pt>
                <c:pt idx="27">
                  <c:v>35332.249315068497</c:v>
                </c:pt>
                <c:pt idx="28">
                  <c:v>35907.249315068497</c:v>
                </c:pt>
                <c:pt idx="29">
                  <c:v>39417.249315068497</c:v>
                </c:pt>
                <c:pt idx="30">
                  <c:v>40407.249315068497</c:v>
                </c:pt>
                <c:pt idx="31">
                  <c:v>40607.249315068497</c:v>
                </c:pt>
                <c:pt idx="32">
                  <c:v>41807.249315068497</c:v>
                </c:pt>
                <c:pt idx="33">
                  <c:v>42607.249315068497</c:v>
                </c:pt>
                <c:pt idx="34">
                  <c:v>43951.249315068497</c:v>
                </c:pt>
                <c:pt idx="35">
                  <c:v>46201.249315068497</c:v>
                </c:pt>
                <c:pt idx="36">
                  <c:v>47034.126027397266</c:v>
                </c:pt>
                <c:pt idx="37">
                  <c:v>48834.126027397266</c:v>
                </c:pt>
              </c:numCache>
            </c:numRef>
          </c:yVal>
          <c:smooth val="0"/>
          <c:extLst>
            <c:ext xmlns:c16="http://schemas.microsoft.com/office/drawing/2014/chart" uri="{C3380CC4-5D6E-409C-BE32-E72D297353CC}">
              <c16:uniqueId val="{00000000-07FA-4BEF-A9B9-1A1E1861B659}"/>
            </c:ext>
          </c:extLst>
        </c:ser>
        <c:ser>
          <c:idx val="1"/>
          <c:order val="1"/>
          <c:tx>
            <c:v>Acceptance Rate</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'WTE Facilities'!$K$2:$K$39</c:f>
              <c:numCache>
                <c:formatCode>0</c:formatCode>
                <c:ptCount val="38"/>
                <c:pt idx="0">
                  <c:v>0</c:v>
                </c:pt>
                <c:pt idx="1">
                  <c:v>1.4046310779005711</c:v>
                </c:pt>
                <c:pt idx="2">
                  <c:v>14.426763063259877</c:v>
                </c:pt>
                <c:pt idx="3">
                  <c:v>23.361862289289302</c:v>
                </c:pt>
                <c:pt idx="4">
                  <c:v>35.19168381632214</c:v>
                </c:pt>
                <c:pt idx="5">
                  <c:v>37.044906729637937</c:v>
                </c:pt>
                <c:pt idx="6">
                  <c:v>49.536432468394175</c:v>
                </c:pt>
                <c:pt idx="7">
                  <c:v>55.722316770371513</c:v>
                </c:pt>
                <c:pt idx="8">
                  <c:v>56.619180569154835</c:v>
                </c:pt>
                <c:pt idx="9">
                  <c:v>65.693781546131731</c:v>
                </c:pt>
                <c:pt idx="10">
                  <c:v>68.410458262014558</c:v>
                </c:pt>
                <c:pt idx="11">
                  <c:v>70.753185445247553</c:v>
                </c:pt>
                <c:pt idx="12">
                  <c:v>73.394038287938969</c:v>
                </c:pt>
                <c:pt idx="13">
                  <c:v>79.67105707802709</c:v>
                </c:pt>
                <c:pt idx="14">
                  <c:v>85.041062291215667</c:v>
                </c:pt>
                <c:pt idx="15">
                  <c:v>97.442068087446728</c:v>
                </c:pt>
                <c:pt idx="16">
                  <c:v>99.167276138508896</c:v>
                </c:pt>
                <c:pt idx="17">
                  <c:v>103.12907269316706</c:v>
                </c:pt>
                <c:pt idx="18">
                  <c:v>103.91800427627074</c:v>
                </c:pt>
                <c:pt idx="19">
                  <c:v>105.59718591151733</c:v>
                </c:pt>
                <c:pt idx="20">
                  <c:v>114.99267884819633</c:v>
                </c:pt>
                <c:pt idx="21">
                  <c:v>116.57495117287384</c:v>
                </c:pt>
                <c:pt idx="22">
                  <c:v>119.5620814078198</c:v>
                </c:pt>
                <c:pt idx="23">
                  <c:v>155.0552975371852</c:v>
                </c:pt>
                <c:pt idx="24">
                  <c:v>164.88446644568634</c:v>
                </c:pt>
                <c:pt idx="25">
                  <c:v>177.01683905773078</c:v>
                </c:pt>
                <c:pt idx="26">
                  <c:v>179.11507766138874</c:v>
                </c:pt>
                <c:pt idx="27">
                  <c:v>180.48456860280973</c:v>
                </c:pt>
                <c:pt idx="28">
                  <c:v>183.06005762914609</c:v>
                </c:pt>
                <c:pt idx="29">
                  <c:v>194.63374221459202</c:v>
                </c:pt>
                <c:pt idx="30">
                  <c:v>195.37838672821837</c:v>
                </c:pt>
                <c:pt idx="31">
                  <c:v>220.10917995494873</c:v>
                </c:pt>
                <c:pt idx="32">
                  <c:v>237.36068705099731</c:v>
                </c:pt>
                <c:pt idx="33">
                  <c:v>241.5621792013583</c:v>
                </c:pt>
                <c:pt idx="34">
                  <c:v>243.4163460233342</c:v>
                </c:pt>
                <c:pt idx="35">
                  <c:v>269.5272118866074</c:v>
                </c:pt>
                <c:pt idx="36">
                  <c:v>282.71746368254986</c:v>
                </c:pt>
                <c:pt idx="37">
                  <c:v>307.00939929751934</c:v>
                </c:pt>
              </c:numCache>
            </c:numRef>
          </c:xVal>
          <c:yVal>
            <c:numRef>
              <c:f>'WTE Facilities'!$W$2:$W$39</c:f>
              <c:numCache>
                <c:formatCode>0</c:formatCode>
                <c:ptCount val="38"/>
                <c:pt idx="0">
                  <c:v>0</c:v>
                </c:pt>
                <c:pt idx="1">
                  <c:v>2191.7786301369865</c:v>
                </c:pt>
                <c:pt idx="2">
                  <c:v>2836.1786301369866</c:v>
                </c:pt>
                <c:pt idx="3">
                  <c:v>3160.1786301369866</c:v>
                </c:pt>
                <c:pt idx="4">
                  <c:v>3413.4386301369868</c:v>
                </c:pt>
                <c:pt idx="5">
                  <c:v>4033.5386301369867</c:v>
                </c:pt>
                <c:pt idx="6">
                  <c:v>4708.5386301369872</c:v>
                </c:pt>
                <c:pt idx="7">
                  <c:v>4924.5386301369872</c:v>
                </c:pt>
                <c:pt idx="8">
                  <c:v>6274.5386301369872</c:v>
                </c:pt>
                <c:pt idx="9">
                  <c:v>6688.3057534246582</c:v>
                </c:pt>
                <c:pt idx="10">
                  <c:v>7638.4810958904118</c:v>
                </c:pt>
                <c:pt idx="11">
                  <c:v>8099.4756164383571</c:v>
                </c:pt>
                <c:pt idx="12">
                  <c:v>9963.2728767123299</c:v>
                </c:pt>
                <c:pt idx="13">
                  <c:v>10629.686575342466</c:v>
                </c:pt>
                <c:pt idx="14">
                  <c:v>13376.845479452055</c:v>
                </c:pt>
                <c:pt idx="15">
                  <c:v>18596.845479452055</c:v>
                </c:pt>
                <c:pt idx="16">
                  <c:v>19946.845479452055</c:v>
                </c:pt>
                <c:pt idx="17">
                  <c:v>22376.845479452055</c:v>
                </c:pt>
                <c:pt idx="18">
                  <c:v>23726.845479452055</c:v>
                </c:pt>
                <c:pt idx="19">
                  <c:v>25211.845479452055</c:v>
                </c:pt>
                <c:pt idx="20">
                  <c:v>26597.845479452055</c:v>
                </c:pt>
                <c:pt idx="21">
                  <c:v>27020.31397260274</c:v>
                </c:pt>
                <c:pt idx="22">
                  <c:v>27537.875616438356</c:v>
                </c:pt>
                <c:pt idx="23">
                  <c:v>28887.875616438356</c:v>
                </c:pt>
                <c:pt idx="24">
                  <c:v>29427.875616438356</c:v>
                </c:pt>
                <c:pt idx="25">
                  <c:v>29909.922191780821</c:v>
                </c:pt>
                <c:pt idx="26">
                  <c:v>31004.322191780822</c:v>
                </c:pt>
                <c:pt idx="27">
                  <c:v>32116.722191780824</c:v>
                </c:pt>
                <c:pt idx="28">
                  <c:v>32634.222191780824</c:v>
                </c:pt>
                <c:pt idx="29">
                  <c:v>35793.22219178082</c:v>
                </c:pt>
                <c:pt idx="30">
                  <c:v>36786.78931506849</c:v>
                </c:pt>
                <c:pt idx="31">
                  <c:v>36934.244109589039</c:v>
                </c:pt>
                <c:pt idx="32">
                  <c:v>38014.244109589039</c:v>
                </c:pt>
                <c:pt idx="33">
                  <c:v>38734.244109589039</c:v>
                </c:pt>
                <c:pt idx="34">
                  <c:v>39943.844109589038</c:v>
                </c:pt>
                <c:pt idx="35">
                  <c:v>41968.844109589038</c:v>
                </c:pt>
                <c:pt idx="36">
                  <c:v>42617.624931506849</c:v>
                </c:pt>
                <c:pt idx="37">
                  <c:v>44237.624931506849</c:v>
                </c:pt>
              </c:numCache>
            </c:numRef>
          </c:yVal>
          <c:smooth val="0"/>
          <c:extLst>
            <c:ext xmlns:c16="http://schemas.microsoft.com/office/drawing/2014/chart" uri="{C3380CC4-5D6E-409C-BE32-E72D297353CC}">
              <c16:uniqueId val="{00000001-07FA-4BEF-A9B9-1A1E1861B659}"/>
            </c:ext>
          </c:extLst>
        </c:ser>
        <c:dLbls>
          <c:showLegendKey val="0"/>
          <c:showVal val="0"/>
          <c:showCatName val="0"/>
          <c:showSerName val="0"/>
          <c:showPercent val="0"/>
          <c:showBubbleSize val="0"/>
        </c:dLbls>
        <c:axId val="439888400"/>
        <c:axId val="439888728"/>
      </c:scatterChart>
      <c:valAx>
        <c:axId val="439888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Georgia" panose="02040502050405020303" pitchFamily="18" charset="0"/>
                    <a:ea typeface="+mn-ea"/>
                    <a:cs typeface="+mn-cs"/>
                  </a:defRPr>
                </a:pPr>
                <a:r>
                  <a:rPr lang="en-US"/>
                  <a:t>Distance from CRCOG (Miles)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439888728"/>
        <c:crosses val="autoZero"/>
        <c:crossBetween val="midCat"/>
      </c:valAx>
      <c:valAx>
        <c:axId val="439888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eorgia" panose="02040502050405020303" pitchFamily="18" charset="0"/>
                    <a:ea typeface="+mn-ea"/>
                    <a:cs typeface="+mn-cs"/>
                  </a:defRPr>
                </a:pPr>
                <a:r>
                  <a:rPr lang="en-US"/>
                  <a:t>Cumulative Daily Waste Acceptance Rates (Tons / Day)</a:t>
                </a:r>
              </a:p>
            </c:rich>
          </c:tx>
          <c:layout>
            <c:manualLayout>
              <c:xMode val="edge"/>
              <c:yMode val="edge"/>
              <c:x val="3.7698412698412696E-2"/>
              <c:y val="0.1170676153519087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439888400"/>
        <c:crosses val="autoZero"/>
        <c:crossBetween val="midCat"/>
      </c:valAx>
      <c:spPr>
        <a:noFill/>
        <a:ln>
          <a:noFill/>
        </a:ln>
        <a:effectLst/>
      </c:spPr>
    </c:plotArea>
    <c:legend>
      <c:legendPos val="r"/>
      <c:layout>
        <c:manualLayout>
          <c:xMode val="edge"/>
          <c:yMode val="edge"/>
          <c:x val="7.9365079365079361E-3"/>
          <c:y val="0.90432602623236713"/>
          <c:w val="0.99054633795775526"/>
          <c:h val="6.352818337899150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FFFFFF">
        <a:lumMod val="95000"/>
      </a:srgbClr>
    </a:solidFill>
    <a:ln w="9525" cap="flat" cmpd="sng" algn="ctr">
      <a:solidFill>
        <a:schemeClr val="tx1">
          <a:lumMod val="15000"/>
          <a:lumOff val="85000"/>
        </a:schemeClr>
      </a:solidFill>
      <a:round/>
    </a:ln>
    <a:effectLst/>
  </c:spPr>
  <c:txPr>
    <a:bodyPr/>
    <a:lstStyle/>
    <a:p>
      <a:pPr>
        <a:defRPr>
          <a:latin typeface="Georgia" panose="02040502050405020303" pitchFamily="18"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61745406824147"/>
          <c:y val="3.4008347503478129E-2"/>
          <c:w val="0.82602143482064738"/>
          <c:h val="0.75670812828717948"/>
        </c:manualLayout>
      </c:layout>
      <c:scatterChart>
        <c:scatterStyle val="lineMarker"/>
        <c:varyColors val="0"/>
        <c:ser>
          <c:idx val="0"/>
          <c:order val="0"/>
          <c:tx>
            <c:v>Permitted Capacity</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'TS (Sample)'!$H$2:$H$22</c:f>
              <c:numCache>
                <c:formatCode>0.0</c:formatCode>
                <c:ptCount val="21"/>
                <c:pt idx="0" formatCode="0">
                  <c:v>0</c:v>
                </c:pt>
                <c:pt idx="1">
                  <c:v>9.3027651670087241</c:v>
                </c:pt>
                <c:pt idx="2">
                  <c:v>14.037777148756684</c:v>
                </c:pt>
                <c:pt idx="3">
                  <c:v>25.914926992119298</c:v>
                </c:pt>
                <c:pt idx="4">
                  <c:v>25.942997509440051</c:v>
                </c:pt>
                <c:pt idx="5">
                  <c:v>26.802119627783849</c:v>
                </c:pt>
                <c:pt idx="6">
                  <c:v>28.543150840720447</c:v>
                </c:pt>
                <c:pt idx="7">
                  <c:v>29.200681819266389</c:v>
                </c:pt>
                <c:pt idx="8">
                  <c:v>29.29043773526719</c:v>
                </c:pt>
                <c:pt idx="9">
                  <c:v>31.64680404496379</c:v>
                </c:pt>
                <c:pt idx="10">
                  <c:v>31.816391623208716</c:v>
                </c:pt>
                <c:pt idx="11">
                  <c:v>32.346825722501393</c:v>
                </c:pt>
                <c:pt idx="12">
                  <c:v>32.36421533087087</c:v>
                </c:pt>
                <c:pt idx="13">
                  <c:v>33.905386014866622</c:v>
                </c:pt>
                <c:pt idx="14">
                  <c:v>34.546730678977816</c:v>
                </c:pt>
                <c:pt idx="15">
                  <c:v>43.310129386309264</c:v>
                </c:pt>
                <c:pt idx="16">
                  <c:v>45.431606780021426</c:v>
                </c:pt>
                <c:pt idx="17">
                  <c:v>46.034794093514229</c:v>
                </c:pt>
                <c:pt idx="18">
                  <c:v>47.308250046430445</c:v>
                </c:pt>
                <c:pt idx="19">
                  <c:v>47.969525150943426</c:v>
                </c:pt>
                <c:pt idx="20">
                  <c:v>49.46966968039186</c:v>
                </c:pt>
              </c:numCache>
            </c:numRef>
          </c:xVal>
          <c:yVal>
            <c:numRef>
              <c:f>'TS (Sample)'!$S$2:$S$22</c:f>
              <c:numCache>
                <c:formatCode>0</c:formatCode>
                <c:ptCount val="21"/>
                <c:pt idx="0">
                  <c:v>0</c:v>
                </c:pt>
                <c:pt idx="1">
                  <c:v>166.65</c:v>
                </c:pt>
                <c:pt idx="2">
                  <c:v>622.05000000000007</c:v>
                </c:pt>
                <c:pt idx="3">
                  <c:v>1229.25</c:v>
                </c:pt>
                <c:pt idx="4">
                  <c:v>1311.75</c:v>
                </c:pt>
                <c:pt idx="5">
                  <c:v>1362.9</c:v>
                </c:pt>
                <c:pt idx="6">
                  <c:v>1470.15</c:v>
                </c:pt>
                <c:pt idx="7">
                  <c:v>1970.15</c:v>
                </c:pt>
                <c:pt idx="8">
                  <c:v>1985.15</c:v>
                </c:pt>
                <c:pt idx="9">
                  <c:v>2330</c:v>
                </c:pt>
                <c:pt idx="10">
                  <c:v>2419.1</c:v>
                </c:pt>
                <c:pt idx="11">
                  <c:v>2894.3</c:v>
                </c:pt>
                <c:pt idx="12">
                  <c:v>2948.75</c:v>
                </c:pt>
                <c:pt idx="13">
                  <c:v>2996.6</c:v>
                </c:pt>
                <c:pt idx="14">
                  <c:v>3008.15</c:v>
                </c:pt>
                <c:pt idx="15">
                  <c:v>3143.4500000000003</c:v>
                </c:pt>
                <c:pt idx="16">
                  <c:v>3221.0000000000005</c:v>
                </c:pt>
                <c:pt idx="17">
                  <c:v>3305.1500000000005</c:v>
                </c:pt>
                <c:pt idx="18">
                  <c:v>3365.1500000000005</c:v>
                </c:pt>
                <c:pt idx="19">
                  <c:v>3390.1500000000005</c:v>
                </c:pt>
                <c:pt idx="20">
                  <c:v>3515.5500000000006</c:v>
                </c:pt>
              </c:numCache>
            </c:numRef>
          </c:yVal>
          <c:smooth val="0"/>
          <c:extLst>
            <c:ext xmlns:c16="http://schemas.microsoft.com/office/drawing/2014/chart" uri="{C3380CC4-5D6E-409C-BE32-E72D297353CC}">
              <c16:uniqueId val="{00000000-8609-4199-A401-6BF8294DDD04}"/>
            </c:ext>
          </c:extLst>
        </c:ser>
        <c:ser>
          <c:idx val="1"/>
          <c:order val="1"/>
          <c:tx>
            <c:v>Acceptance Rate</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'TS (Sample)'!$H$2:$H$22</c:f>
              <c:numCache>
                <c:formatCode>0.0</c:formatCode>
                <c:ptCount val="21"/>
                <c:pt idx="0" formatCode="0">
                  <c:v>0</c:v>
                </c:pt>
                <c:pt idx="1">
                  <c:v>9.3027651670087241</c:v>
                </c:pt>
                <c:pt idx="2">
                  <c:v>14.037777148756684</c:v>
                </c:pt>
                <c:pt idx="3">
                  <c:v>25.914926992119298</c:v>
                </c:pt>
                <c:pt idx="4">
                  <c:v>25.942997509440051</c:v>
                </c:pt>
                <c:pt idx="5">
                  <c:v>26.802119627783849</c:v>
                </c:pt>
                <c:pt idx="6">
                  <c:v>28.543150840720447</c:v>
                </c:pt>
                <c:pt idx="7">
                  <c:v>29.200681819266389</c:v>
                </c:pt>
                <c:pt idx="8">
                  <c:v>29.29043773526719</c:v>
                </c:pt>
                <c:pt idx="9">
                  <c:v>31.64680404496379</c:v>
                </c:pt>
                <c:pt idx="10">
                  <c:v>31.816391623208716</c:v>
                </c:pt>
                <c:pt idx="11">
                  <c:v>32.346825722501393</c:v>
                </c:pt>
                <c:pt idx="12">
                  <c:v>32.36421533087087</c:v>
                </c:pt>
                <c:pt idx="13">
                  <c:v>33.905386014866622</c:v>
                </c:pt>
                <c:pt idx="14">
                  <c:v>34.546730678977816</c:v>
                </c:pt>
                <c:pt idx="15">
                  <c:v>43.310129386309264</c:v>
                </c:pt>
                <c:pt idx="16">
                  <c:v>45.431606780021426</c:v>
                </c:pt>
                <c:pt idx="17">
                  <c:v>46.034794093514229</c:v>
                </c:pt>
                <c:pt idx="18">
                  <c:v>47.308250046430445</c:v>
                </c:pt>
                <c:pt idx="19">
                  <c:v>47.969525150943426</c:v>
                </c:pt>
                <c:pt idx="20">
                  <c:v>49.46966968039186</c:v>
                </c:pt>
              </c:numCache>
            </c:numRef>
          </c:xVal>
          <c:yVal>
            <c:numRef>
              <c:f>'TS (Sample)'!$R$2:$R$22</c:f>
              <c:numCache>
                <c:formatCode>0</c:formatCode>
                <c:ptCount val="21"/>
                <c:pt idx="0">
                  <c:v>0</c:v>
                </c:pt>
                <c:pt idx="1">
                  <c:v>149.98500000000001</c:v>
                </c:pt>
                <c:pt idx="2">
                  <c:v>559.84500000000003</c:v>
                </c:pt>
                <c:pt idx="3">
                  <c:v>1106.325</c:v>
                </c:pt>
                <c:pt idx="4">
                  <c:v>1180.575</c:v>
                </c:pt>
                <c:pt idx="5">
                  <c:v>1226.6100000000001</c:v>
                </c:pt>
                <c:pt idx="6">
                  <c:v>1323.1350000000002</c:v>
                </c:pt>
                <c:pt idx="7">
                  <c:v>1480.9706164383565</c:v>
                </c:pt>
                <c:pt idx="8">
                  <c:v>1494.4706164383565</c:v>
                </c:pt>
                <c:pt idx="9">
                  <c:v>1804.8356164383565</c:v>
                </c:pt>
                <c:pt idx="10">
                  <c:v>1885.0256164383566</c:v>
                </c:pt>
                <c:pt idx="11">
                  <c:v>2312.7056164383566</c:v>
                </c:pt>
                <c:pt idx="12">
                  <c:v>2361.7106164383567</c:v>
                </c:pt>
                <c:pt idx="13">
                  <c:v>2404.7756164383568</c:v>
                </c:pt>
                <c:pt idx="14">
                  <c:v>2415.1706164383568</c:v>
                </c:pt>
                <c:pt idx="15">
                  <c:v>2536.9406164383568</c:v>
                </c:pt>
                <c:pt idx="16">
                  <c:v>2606.7356164383568</c:v>
                </c:pt>
                <c:pt idx="17">
                  <c:v>2682.470616438357</c:v>
                </c:pt>
                <c:pt idx="18">
                  <c:v>2736.470616438357</c:v>
                </c:pt>
                <c:pt idx="19">
                  <c:v>2758.970616438357</c:v>
                </c:pt>
                <c:pt idx="20">
                  <c:v>2871.8306164383571</c:v>
                </c:pt>
              </c:numCache>
            </c:numRef>
          </c:yVal>
          <c:smooth val="0"/>
          <c:extLst>
            <c:ext xmlns:c16="http://schemas.microsoft.com/office/drawing/2014/chart" uri="{C3380CC4-5D6E-409C-BE32-E72D297353CC}">
              <c16:uniqueId val="{00000001-8609-4199-A401-6BF8294DDD04}"/>
            </c:ext>
          </c:extLst>
        </c:ser>
        <c:dLbls>
          <c:showLegendKey val="0"/>
          <c:showVal val="0"/>
          <c:showCatName val="0"/>
          <c:showSerName val="0"/>
          <c:showPercent val="0"/>
          <c:showBubbleSize val="0"/>
        </c:dLbls>
        <c:axId val="379139200"/>
        <c:axId val="379137888"/>
      </c:scatterChart>
      <c:valAx>
        <c:axId val="3791392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Georgia" panose="02040502050405020303" pitchFamily="18" charset="0"/>
                    <a:ea typeface="+mn-ea"/>
                    <a:cs typeface="+mn-cs"/>
                  </a:defRPr>
                </a:pPr>
                <a:r>
                  <a:rPr lang="en-US"/>
                  <a:t>Distance from CRCOG (Miles)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379137888"/>
        <c:crosses val="autoZero"/>
        <c:crossBetween val="midCat"/>
      </c:valAx>
      <c:valAx>
        <c:axId val="379137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eorgia" panose="02040502050405020303" pitchFamily="18" charset="0"/>
                    <a:ea typeface="+mn-ea"/>
                    <a:cs typeface="+mn-cs"/>
                  </a:defRPr>
                </a:pPr>
                <a:r>
                  <a:rPr lang="en-US"/>
                  <a:t>Cumulative Daily Waste Acceptance Rates (Tons / Day)</a:t>
                </a:r>
              </a:p>
            </c:rich>
          </c:tx>
          <c:layout>
            <c:manualLayout>
              <c:xMode val="edge"/>
              <c:yMode val="edge"/>
              <c:x val="3.5714285714285712E-2"/>
              <c:y val="3.4008347503478129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3791392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latin typeface="Georgia" panose="02040502050405020303" pitchFamily="18"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97927766278491"/>
          <c:y val="3.0555467471162688E-2"/>
          <c:w val="0.7682527810211105"/>
          <c:h val="0.79831321084864393"/>
        </c:manualLayout>
      </c:layout>
      <c:areaChart>
        <c:grouping val="stacked"/>
        <c:varyColors val="0"/>
        <c:ser>
          <c:idx val="1"/>
          <c:order val="1"/>
          <c:tx>
            <c:v>WTE</c:v>
          </c:tx>
          <c:spPr>
            <a:solidFill>
              <a:schemeClr val="accent2"/>
            </a:solidFill>
            <a:ln>
              <a:noFill/>
            </a:ln>
            <a:effectLst/>
          </c:spPr>
          <c:cat>
            <c:numRef>
              <c:f>'Compiled Figure Data'!$C$2:$C$309</c:f>
              <c:numCache>
                <c:formatCode>0</c:formatCode>
                <c:ptCount val="308"/>
                <c:pt idx="0">
                  <c:v>0</c:v>
                </c:pt>
                <c:pt idx="1">
                  <c:v>1.4046310779005711</c:v>
                </c:pt>
                <c:pt idx="2">
                  <c:v>2.4702556784183272</c:v>
                </c:pt>
                <c:pt idx="3">
                  <c:v>2.68069823117616</c:v>
                </c:pt>
                <c:pt idx="4">
                  <c:v>2.7527748833496348</c:v>
                </c:pt>
                <c:pt idx="5">
                  <c:v>3.4327601232069744</c:v>
                </c:pt>
                <c:pt idx="6">
                  <c:v>6.0908663601126891</c:v>
                </c:pt>
                <c:pt idx="7">
                  <c:v>6.1498864349122666</c:v>
                </c:pt>
                <c:pt idx="8">
                  <c:v>7.5443422011709549</c:v>
                </c:pt>
                <c:pt idx="9">
                  <c:v>8.0346310480680998</c:v>
                </c:pt>
                <c:pt idx="10">
                  <c:v>8.6610870541652041</c:v>
                </c:pt>
                <c:pt idx="11">
                  <c:v>8.9713608919098533</c:v>
                </c:pt>
                <c:pt idx="12">
                  <c:v>9.3027651670087241</c:v>
                </c:pt>
                <c:pt idx="13">
                  <c:v>9.6609850578107395</c:v>
                </c:pt>
                <c:pt idx="14">
                  <c:v>10.173954496716529</c:v>
                </c:pt>
                <c:pt idx="15">
                  <c:v>10.951698134049566</c:v>
                </c:pt>
                <c:pt idx="16">
                  <c:v>11.006656074976426</c:v>
                </c:pt>
                <c:pt idx="17">
                  <c:v>11.998331731412774</c:v>
                </c:pt>
                <c:pt idx="18">
                  <c:v>12.080447126501223</c:v>
                </c:pt>
                <c:pt idx="19">
                  <c:v>12.250782125004831</c:v>
                </c:pt>
                <c:pt idx="20">
                  <c:v>12.386703578087259</c:v>
                </c:pt>
                <c:pt idx="21">
                  <c:v>12.924933706589929</c:v>
                </c:pt>
                <c:pt idx="22">
                  <c:v>13.271840315292051</c:v>
                </c:pt>
                <c:pt idx="23">
                  <c:v>13.972805534408666</c:v>
                </c:pt>
                <c:pt idx="24">
                  <c:v>14.037777148756684</c:v>
                </c:pt>
                <c:pt idx="25">
                  <c:v>14.426763063259877</c:v>
                </c:pt>
                <c:pt idx="26">
                  <c:v>14.815069824975689</c:v>
                </c:pt>
                <c:pt idx="27">
                  <c:v>14.886271723168052</c:v>
                </c:pt>
                <c:pt idx="28">
                  <c:v>15.095434009849177</c:v>
                </c:pt>
                <c:pt idx="29">
                  <c:v>15.120536530618882</c:v>
                </c:pt>
                <c:pt idx="30">
                  <c:v>15.22739464830966</c:v>
                </c:pt>
                <c:pt idx="31">
                  <c:v>16.183960221863188</c:v>
                </c:pt>
                <c:pt idx="32">
                  <c:v>16.424658345063282</c:v>
                </c:pt>
                <c:pt idx="33">
                  <c:v>16.433818894768969</c:v>
                </c:pt>
                <c:pt idx="34">
                  <c:v>16.800713325318732</c:v>
                </c:pt>
                <c:pt idx="35">
                  <c:v>16.990834500929321</c:v>
                </c:pt>
                <c:pt idx="36">
                  <c:v>17.714212794932315</c:v>
                </c:pt>
                <c:pt idx="37">
                  <c:v>17.742753823722307</c:v>
                </c:pt>
                <c:pt idx="38">
                  <c:v>17.938370310908695</c:v>
                </c:pt>
                <c:pt idx="39">
                  <c:v>17.993739908640254</c:v>
                </c:pt>
                <c:pt idx="40">
                  <c:v>18.6516633430792</c:v>
                </c:pt>
                <c:pt idx="41">
                  <c:v>18.760289788414092</c:v>
                </c:pt>
                <c:pt idx="42">
                  <c:v>18.85115252111413</c:v>
                </c:pt>
                <c:pt idx="43">
                  <c:v>19.570575990424445</c:v>
                </c:pt>
                <c:pt idx="44">
                  <c:v>19.665259051100929</c:v>
                </c:pt>
                <c:pt idx="45">
                  <c:v>19.989305605374682</c:v>
                </c:pt>
                <c:pt idx="46">
                  <c:v>20.37339895146928</c:v>
                </c:pt>
                <c:pt idx="47">
                  <c:v>20.561160555831567</c:v>
                </c:pt>
                <c:pt idx="48">
                  <c:v>20.800369040204021</c:v>
                </c:pt>
                <c:pt idx="49">
                  <c:v>20.831523592590994</c:v>
                </c:pt>
                <c:pt idx="50">
                  <c:v>20.921825514692063</c:v>
                </c:pt>
                <c:pt idx="51">
                  <c:v>21.077841679990687</c:v>
                </c:pt>
                <c:pt idx="52">
                  <c:v>21.089378686935177</c:v>
                </c:pt>
                <c:pt idx="53">
                  <c:v>21.266399300188986</c:v>
                </c:pt>
                <c:pt idx="54">
                  <c:v>21.321325545521283</c:v>
                </c:pt>
                <c:pt idx="55">
                  <c:v>21.562970996431705</c:v>
                </c:pt>
                <c:pt idx="56">
                  <c:v>22.007815038292513</c:v>
                </c:pt>
                <c:pt idx="57">
                  <c:v>22.61054086929289</c:v>
                </c:pt>
                <c:pt idx="58">
                  <c:v>22.964959855656378</c:v>
                </c:pt>
                <c:pt idx="59">
                  <c:v>23.181681342989201</c:v>
                </c:pt>
                <c:pt idx="60">
                  <c:v>23.27261805806776</c:v>
                </c:pt>
                <c:pt idx="61">
                  <c:v>23.361862289289302</c:v>
                </c:pt>
                <c:pt idx="62">
                  <c:v>23.424501258482294</c:v>
                </c:pt>
                <c:pt idx="63">
                  <c:v>25.214850768985311</c:v>
                </c:pt>
                <c:pt idx="64">
                  <c:v>25.51251923137821</c:v>
                </c:pt>
                <c:pt idx="65">
                  <c:v>25.820933578130379</c:v>
                </c:pt>
                <c:pt idx="66">
                  <c:v>25.914926992119298</c:v>
                </c:pt>
                <c:pt idx="67">
                  <c:v>25.942997509440051</c:v>
                </c:pt>
                <c:pt idx="68">
                  <c:v>25.98753496478988</c:v>
                </c:pt>
                <c:pt idx="69">
                  <c:v>26.112900290432218</c:v>
                </c:pt>
                <c:pt idx="70">
                  <c:v>26.449557488016872</c:v>
                </c:pt>
                <c:pt idx="71">
                  <c:v>26.77457150901742</c:v>
                </c:pt>
                <c:pt idx="72">
                  <c:v>26.802119627783849</c:v>
                </c:pt>
                <c:pt idx="73">
                  <c:v>27.159989088644799</c:v>
                </c:pt>
                <c:pt idx="74">
                  <c:v>27.318491989314897</c:v>
                </c:pt>
                <c:pt idx="75">
                  <c:v>27.325953227814399</c:v>
                </c:pt>
                <c:pt idx="76">
                  <c:v>27.394971727163004</c:v>
                </c:pt>
                <c:pt idx="77">
                  <c:v>27.499381793883813</c:v>
                </c:pt>
                <c:pt idx="78">
                  <c:v>27.704396749478885</c:v>
                </c:pt>
                <c:pt idx="79">
                  <c:v>27.889536495691605</c:v>
                </c:pt>
                <c:pt idx="80">
                  <c:v>28.539800624149532</c:v>
                </c:pt>
                <c:pt idx="81">
                  <c:v>28.543150840720447</c:v>
                </c:pt>
                <c:pt idx="82">
                  <c:v>28.918892171853191</c:v>
                </c:pt>
                <c:pt idx="83">
                  <c:v>29.200681819266389</c:v>
                </c:pt>
                <c:pt idx="84">
                  <c:v>29.227309058358237</c:v>
                </c:pt>
                <c:pt idx="85">
                  <c:v>29.29043773526719</c:v>
                </c:pt>
                <c:pt idx="86">
                  <c:v>29.296685928366401</c:v>
                </c:pt>
                <c:pt idx="87">
                  <c:v>29.32177908941696</c:v>
                </c:pt>
                <c:pt idx="88">
                  <c:v>29.43861128409176</c:v>
                </c:pt>
                <c:pt idx="89">
                  <c:v>29.655613809548683</c:v>
                </c:pt>
                <c:pt idx="90">
                  <c:v>29.851901657471959</c:v>
                </c:pt>
                <c:pt idx="91">
                  <c:v>30.181150857930177</c:v>
                </c:pt>
                <c:pt idx="92">
                  <c:v>30.21516263502264</c:v>
                </c:pt>
                <c:pt idx="93">
                  <c:v>30.68746973428841</c:v>
                </c:pt>
                <c:pt idx="94">
                  <c:v>30.802577306258083</c:v>
                </c:pt>
                <c:pt idx="95">
                  <c:v>31.134205123910107</c:v>
                </c:pt>
                <c:pt idx="96">
                  <c:v>31.183750979366685</c:v>
                </c:pt>
                <c:pt idx="97">
                  <c:v>31.622110588293662</c:v>
                </c:pt>
                <c:pt idx="98">
                  <c:v>31.64680404496379</c:v>
                </c:pt>
                <c:pt idx="99">
                  <c:v>31.706651981357162</c:v>
                </c:pt>
                <c:pt idx="100">
                  <c:v>31.816391623208716</c:v>
                </c:pt>
                <c:pt idx="101">
                  <c:v>32.027266881965978</c:v>
                </c:pt>
                <c:pt idx="102">
                  <c:v>32.047496892226583</c:v>
                </c:pt>
                <c:pt idx="103">
                  <c:v>32.180751822299257</c:v>
                </c:pt>
                <c:pt idx="104">
                  <c:v>32.187906496467718</c:v>
                </c:pt>
                <c:pt idx="105">
                  <c:v>32.212322262915123</c:v>
                </c:pt>
                <c:pt idx="106">
                  <c:v>32.346825722501393</c:v>
                </c:pt>
                <c:pt idx="107">
                  <c:v>32.36421533087087</c:v>
                </c:pt>
                <c:pt idx="108">
                  <c:v>32.375638019742745</c:v>
                </c:pt>
                <c:pt idx="109">
                  <c:v>32.666793095832141</c:v>
                </c:pt>
                <c:pt idx="110">
                  <c:v>32.666793095832141</c:v>
                </c:pt>
                <c:pt idx="111">
                  <c:v>32.786753624317441</c:v>
                </c:pt>
                <c:pt idx="112">
                  <c:v>32.831360717747344</c:v>
                </c:pt>
                <c:pt idx="113">
                  <c:v>33.194167991264663</c:v>
                </c:pt>
                <c:pt idx="114">
                  <c:v>33.761570545456038</c:v>
                </c:pt>
                <c:pt idx="115">
                  <c:v>33.905386014866622</c:v>
                </c:pt>
                <c:pt idx="116">
                  <c:v>33.967800457105398</c:v>
                </c:pt>
                <c:pt idx="117">
                  <c:v>34.248844774383699</c:v>
                </c:pt>
                <c:pt idx="118">
                  <c:v>34.470783119689656</c:v>
                </c:pt>
                <c:pt idx="119">
                  <c:v>34.546730678977816</c:v>
                </c:pt>
                <c:pt idx="120">
                  <c:v>34.886956431299105</c:v>
                </c:pt>
                <c:pt idx="121">
                  <c:v>34.922695631195474</c:v>
                </c:pt>
                <c:pt idx="122">
                  <c:v>35.14421278818957</c:v>
                </c:pt>
                <c:pt idx="123">
                  <c:v>35.19168381632214</c:v>
                </c:pt>
                <c:pt idx="124">
                  <c:v>35.638579294599346</c:v>
                </c:pt>
                <c:pt idx="125">
                  <c:v>35.973792500663549</c:v>
                </c:pt>
                <c:pt idx="126">
                  <c:v>36.12557922189643</c:v>
                </c:pt>
                <c:pt idx="127">
                  <c:v>36.351449149296826</c:v>
                </c:pt>
                <c:pt idx="128">
                  <c:v>36.598230258520587</c:v>
                </c:pt>
                <c:pt idx="129">
                  <c:v>37.044906729637937</c:v>
                </c:pt>
                <c:pt idx="130">
                  <c:v>37.090692978899554</c:v>
                </c:pt>
                <c:pt idx="131">
                  <c:v>37.260491091965157</c:v>
                </c:pt>
                <c:pt idx="132">
                  <c:v>37.312892579717634</c:v>
                </c:pt>
                <c:pt idx="133">
                  <c:v>37.536393880274389</c:v>
                </c:pt>
                <c:pt idx="134">
                  <c:v>37.684700886248507</c:v>
                </c:pt>
                <c:pt idx="135">
                  <c:v>37.730547747059695</c:v>
                </c:pt>
                <c:pt idx="136">
                  <c:v>37.873448339372331</c:v>
                </c:pt>
                <c:pt idx="137">
                  <c:v>37.896576954446125</c:v>
                </c:pt>
                <c:pt idx="138">
                  <c:v>38.24632113172062</c:v>
                </c:pt>
                <c:pt idx="139">
                  <c:v>38.47572975662812</c:v>
                </c:pt>
                <c:pt idx="140">
                  <c:v>38.560305645844693</c:v>
                </c:pt>
                <c:pt idx="141">
                  <c:v>38.88192382330417</c:v>
                </c:pt>
                <c:pt idx="142">
                  <c:v>38.963083857856425</c:v>
                </c:pt>
                <c:pt idx="143">
                  <c:v>39.100150996875804</c:v>
                </c:pt>
                <c:pt idx="144">
                  <c:v>39.180630786994605</c:v>
                </c:pt>
                <c:pt idx="145">
                  <c:v>39.227990592280371</c:v>
                </c:pt>
                <c:pt idx="146">
                  <c:v>39.331976566599664</c:v>
                </c:pt>
                <c:pt idx="147">
                  <c:v>39.688823898471959</c:v>
                </c:pt>
                <c:pt idx="148">
                  <c:v>39.806965604846638</c:v>
                </c:pt>
                <c:pt idx="149">
                  <c:v>39.859368929621013</c:v>
                </c:pt>
                <c:pt idx="150">
                  <c:v>40.024693803514232</c:v>
                </c:pt>
                <c:pt idx="151">
                  <c:v>40.135154668839377</c:v>
                </c:pt>
                <c:pt idx="152">
                  <c:v>40.273763091758454</c:v>
                </c:pt>
                <c:pt idx="153">
                  <c:v>40.453872392056383</c:v>
                </c:pt>
                <c:pt idx="154">
                  <c:v>40.585342831100974</c:v>
                </c:pt>
                <c:pt idx="155">
                  <c:v>40.636204035144679</c:v>
                </c:pt>
                <c:pt idx="156">
                  <c:v>40.786090672150053</c:v>
                </c:pt>
                <c:pt idx="157">
                  <c:v>41.011109980748714</c:v>
                </c:pt>
                <c:pt idx="158">
                  <c:v>41.130376289444904</c:v>
                </c:pt>
                <c:pt idx="159">
                  <c:v>41.149288697101063</c:v>
                </c:pt>
                <c:pt idx="160">
                  <c:v>41.384750539784271</c:v>
                </c:pt>
                <c:pt idx="161">
                  <c:v>41.880963471224163</c:v>
                </c:pt>
                <c:pt idx="162">
                  <c:v>42.174549764529743</c:v>
                </c:pt>
                <c:pt idx="163">
                  <c:v>42.361712299562051</c:v>
                </c:pt>
                <c:pt idx="164">
                  <c:v>42.372178472429432</c:v>
                </c:pt>
                <c:pt idx="165">
                  <c:v>42.435506098397454</c:v>
                </c:pt>
                <c:pt idx="166">
                  <c:v>43.010684860244432</c:v>
                </c:pt>
                <c:pt idx="167">
                  <c:v>43.310129386309264</c:v>
                </c:pt>
                <c:pt idx="168">
                  <c:v>43.398046375737316</c:v>
                </c:pt>
                <c:pt idx="169">
                  <c:v>43.616122596157091</c:v>
                </c:pt>
                <c:pt idx="170">
                  <c:v>43.68287379027916</c:v>
                </c:pt>
                <c:pt idx="171">
                  <c:v>43.686811543092055</c:v>
                </c:pt>
                <c:pt idx="172">
                  <c:v>43.787750066709229</c:v>
                </c:pt>
                <c:pt idx="173">
                  <c:v>43.93938193465867</c:v>
                </c:pt>
                <c:pt idx="174">
                  <c:v>44.262852724302661</c:v>
                </c:pt>
                <c:pt idx="175">
                  <c:v>44.264933972954999</c:v>
                </c:pt>
                <c:pt idx="176">
                  <c:v>44.707715597375476</c:v>
                </c:pt>
                <c:pt idx="177">
                  <c:v>45.225358712753895</c:v>
                </c:pt>
                <c:pt idx="178">
                  <c:v>45.431606780021426</c:v>
                </c:pt>
                <c:pt idx="179">
                  <c:v>45.694015907157628</c:v>
                </c:pt>
                <c:pt idx="180">
                  <c:v>45.981774838685958</c:v>
                </c:pt>
                <c:pt idx="181">
                  <c:v>46.027092429831576</c:v>
                </c:pt>
                <c:pt idx="182">
                  <c:v>46.034794093514229</c:v>
                </c:pt>
                <c:pt idx="183">
                  <c:v>46.116868342573959</c:v>
                </c:pt>
                <c:pt idx="184">
                  <c:v>46.668641228325932</c:v>
                </c:pt>
                <c:pt idx="185">
                  <c:v>46.911299323462437</c:v>
                </c:pt>
                <c:pt idx="186">
                  <c:v>46.91574298836403</c:v>
                </c:pt>
                <c:pt idx="187">
                  <c:v>47.260884660032424</c:v>
                </c:pt>
                <c:pt idx="188">
                  <c:v>47.308250046430445</c:v>
                </c:pt>
                <c:pt idx="189">
                  <c:v>47.317104921510953</c:v>
                </c:pt>
                <c:pt idx="190">
                  <c:v>47.44376388056132</c:v>
                </c:pt>
                <c:pt idx="191">
                  <c:v>47.538944583173652</c:v>
                </c:pt>
                <c:pt idx="192">
                  <c:v>47.969525150943426</c:v>
                </c:pt>
                <c:pt idx="193">
                  <c:v>48.909502026054639</c:v>
                </c:pt>
                <c:pt idx="194">
                  <c:v>48.95975767779602</c:v>
                </c:pt>
                <c:pt idx="195">
                  <c:v>49.372470912723109</c:v>
                </c:pt>
                <c:pt idx="196">
                  <c:v>49.378081296668533</c:v>
                </c:pt>
                <c:pt idx="197">
                  <c:v>49.46966968039186</c:v>
                </c:pt>
                <c:pt idx="198">
                  <c:v>49.536432468394175</c:v>
                </c:pt>
                <c:pt idx="199">
                  <c:v>49.56950818305728</c:v>
                </c:pt>
                <c:pt idx="200">
                  <c:v>55.722316770371513</c:v>
                </c:pt>
                <c:pt idx="201">
                  <c:v>56.619180569154835</c:v>
                </c:pt>
                <c:pt idx="202">
                  <c:v>65.693781546131731</c:v>
                </c:pt>
                <c:pt idx="203">
                  <c:v>68.410458262014558</c:v>
                </c:pt>
                <c:pt idx="204">
                  <c:v>70.753185445247553</c:v>
                </c:pt>
                <c:pt idx="205">
                  <c:v>73.394038287938969</c:v>
                </c:pt>
                <c:pt idx="206">
                  <c:v>79.67105707802709</c:v>
                </c:pt>
                <c:pt idx="207">
                  <c:v>85.041062291215667</c:v>
                </c:pt>
                <c:pt idx="208">
                  <c:v>89.470359075931441</c:v>
                </c:pt>
                <c:pt idx="209">
                  <c:v>90.291195425637838</c:v>
                </c:pt>
                <c:pt idx="210">
                  <c:v>97.442068087446728</c:v>
                </c:pt>
                <c:pt idx="211">
                  <c:v>99.167276138508896</c:v>
                </c:pt>
                <c:pt idx="212">
                  <c:v>103.12907269316706</c:v>
                </c:pt>
                <c:pt idx="213">
                  <c:v>103.91800427627074</c:v>
                </c:pt>
                <c:pt idx="214">
                  <c:v>105.59718591151733</c:v>
                </c:pt>
                <c:pt idx="215">
                  <c:v>109.59006141177446</c:v>
                </c:pt>
                <c:pt idx="216">
                  <c:v>114.99267884819633</c:v>
                </c:pt>
                <c:pt idx="217">
                  <c:v>116.57495117287384</c:v>
                </c:pt>
                <c:pt idx="218">
                  <c:v>119.5620814078198</c:v>
                </c:pt>
                <c:pt idx="219">
                  <c:v>129.41938375436897</c:v>
                </c:pt>
                <c:pt idx="220">
                  <c:v>134.59198604814748</c:v>
                </c:pt>
                <c:pt idx="221">
                  <c:v>147.83615349221355</c:v>
                </c:pt>
                <c:pt idx="222">
                  <c:v>152.51557578297331</c:v>
                </c:pt>
                <c:pt idx="223">
                  <c:v>153.12734946132272</c:v>
                </c:pt>
                <c:pt idx="224">
                  <c:v>155.0552975371852</c:v>
                </c:pt>
                <c:pt idx="225">
                  <c:v>155.27003710835504</c:v>
                </c:pt>
                <c:pt idx="226">
                  <c:v>157.5379158798138</c:v>
                </c:pt>
                <c:pt idx="227">
                  <c:v>159.95288917433831</c:v>
                </c:pt>
                <c:pt idx="228">
                  <c:v>163.47117958524876</c:v>
                </c:pt>
                <c:pt idx="229">
                  <c:v>164.88446644568634</c:v>
                </c:pt>
                <c:pt idx="230">
                  <c:v>172.9057528833913</c:v>
                </c:pt>
                <c:pt idx="231">
                  <c:v>177.01683905773078</c:v>
                </c:pt>
                <c:pt idx="232">
                  <c:v>179.11507766138874</c:v>
                </c:pt>
                <c:pt idx="233">
                  <c:v>180.48456860280973</c:v>
                </c:pt>
                <c:pt idx="234">
                  <c:v>180.77840578298955</c:v>
                </c:pt>
                <c:pt idx="235">
                  <c:v>183.06005762914609</c:v>
                </c:pt>
                <c:pt idx="236">
                  <c:v>183.39527556652865</c:v>
                </c:pt>
                <c:pt idx="237">
                  <c:v>185.38403576257224</c:v>
                </c:pt>
                <c:pt idx="238">
                  <c:v>193.00156659280177</c:v>
                </c:pt>
                <c:pt idx="239">
                  <c:v>194.63374221459202</c:v>
                </c:pt>
                <c:pt idx="240">
                  <c:v>195.37838672821837</c:v>
                </c:pt>
                <c:pt idx="241">
                  <c:v>196.12752903495348</c:v>
                </c:pt>
                <c:pt idx="242">
                  <c:v>200.97007474888306</c:v>
                </c:pt>
                <c:pt idx="243">
                  <c:v>202.64558208976098</c:v>
                </c:pt>
                <c:pt idx="244">
                  <c:v>203.65287145119498</c:v>
                </c:pt>
                <c:pt idx="245">
                  <c:v>204.3441032665767</c:v>
                </c:pt>
                <c:pt idx="246">
                  <c:v>205.21340864145975</c:v>
                </c:pt>
                <c:pt idx="247">
                  <c:v>206.20326141217876</c:v>
                </c:pt>
                <c:pt idx="248">
                  <c:v>206.80468667709141</c:v>
                </c:pt>
                <c:pt idx="249">
                  <c:v>207.785252383879</c:v>
                </c:pt>
                <c:pt idx="250">
                  <c:v>210.78363812771505</c:v>
                </c:pt>
                <c:pt idx="251">
                  <c:v>216.30600684554585</c:v>
                </c:pt>
                <c:pt idx="252">
                  <c:v>218.84303055439884</c:v>
                </c:pt>
                <c:pt idx="253">
                  <c:v>220.10917995494873</c:v>
                </c:pt>
                <c:pt idx="254">
                  <c:v>220.92229703958515</c:v>
                </c:pt>
                <c:pt idx="255">
                  <c:v>223.58237953845889</c:v>
                </c:pt>
                <c:pt idx="256">
                  <c:v>225.92651297320234</c:v>
                </c:pt>
                <c:pt idx="257">
                  <c:v>227.47187170007192</c:v>
                </c:pt>
                <c:pt idx="258">
                  <c:v>232.06209296819563</c:v>
                </c:pt>
                <c:pt idx="259">
                  <c:v>233.01090756778328</c:v>
                </c:pt>
                <c:pt idx="260">
                  <c:v>237.36068705099731</c:v>
                </c:pt>
                <c:pt idx="261">
                  <c:v>237.42082168695376</c:v>
                </c:pt>
                <c:pt idx="262">
                  <c:v>237.66188406089225</c:v>
                </c:pt>
                <c:pt idx="263">
                  <c:v>239.57891148340826</c:v>
                </c:pt>
                <c:pt idx="264">
                  <c:v>239.71835280543164</c:v>
                </c:pt>
                <c:pt idx="265">
                  <c:v>241.5621792013583</c:v>
                </c:pt>
                <c:pt idx="266">
                  <c:v>243.4163460233342</c:v>
                </c:pt>
                <c:pt idx="267">
                  <c:v>244.43585087452666</c:v>
                </c:pt>
                <c:pt idx="268">
                  <c:v>245.12246052117305</c:v>
                </c:pt>
                <c:pt idx="269">
                  <c:v>247.02822276347646</c:v>
                </c:pt>
                <c:pt idx="270">
                  <c:v>247.32076241697564</c:v>
                </c:pt>
                <c:pt idx="271">
                  <c:v>254.42928879408157</c:v>
                </c:pt>
                <c:pt idx="272">
                  <c:v>255.59223469246845</c:v>
                </c:pt>
                <c:pt idx="273">
                  <c:v>256.4237667237972</c:v>
                </c:pt>
                <c:pt idx="274">
                  <c:v>256.71439008771517</c:v>
                </c:pt>
                <c:pt idx="275">
                  <c:v>262.63793036277656</c:v>
                </c:pt>
                <c:pt idx="276">
                  <c:v>269.31382196148911</c:v>
                </c:pt>
                <c:pt idx="277">
                  <c:v>269.5272118866074</c:v>
                </c:pt>
                <c:pt idx="278">
                  <c:v>272.58735489510605</c:v>
                </c:pt>
                <c:pt idx="279">
                  <c:v>275.67750455330525</c:v>
                </c:pt>
                <c:pt idx="280">
                  <c:v>276.30486635441474</c:v>
                </c:pt>
                <c:pt idx="281">
                  <c:v>279.00277584799187</c:v>
                </c:pt>
                <c:pt idx="282">
                  <c:v>280.59424303230304</c:v>
                </c:pt>
                <c:pt idx="283">
                  <c:v>281.85130216952047</c:v>
                </c:pt>
                <c:pt idx="284">
                  <c:v>282.71746368254986</c:v>
                </c:pt>
                <c:pt idx="285">
                  <c:v>282.79746552617752</c:v>
                </c:pt>
                <c:pt idx="286">
                  <c:v>283.18949925834346</c:v>
                </c:pt>
                <c:pt idx="287">
                  <c:v>295.37406653547697</c:v>
                </c:pt>
                <c:pt idx="288">
                  <c:v>298.25596265005868</c:v>
                </c:pt>
                <c:pt idx="289">
                  <c:v>298.9960494033898</c:v>
                </c:pt>
                <c:pt idx="290">
                  <c:v>300.47708405379399</c:v>
                </c:pt>
                <c:pt idx="291">
                  <c:v>303.70888926150599</c:v>
                </c:pt>
                <c:pt idx="292">
                  <c:v>305.91034715070822</c:v>
                </c:pt>
                <c:pt idx="293">
                  <c:v>306.24124736413393</c:v>
                </c:pt>
                <c:pt idx="294">
                  <c:v>307.00939929751934</c:v>
                </c:pt>
                <c:pt idx="295">
                  <c:v>307.41001471343498</c:v>
                </c:pt>
                <c:pt idx="296">
                  <c:v>309.16210374360304</c:v>
                </c:pt>
                <c:pt idx="297">
                  <c:v>310.34800248632098</c:v>
                </c:pt>
                <c:pt idx="298">
                  <c:v>312.72591719920104</c:v>
                </c:pt>
                <c:pt idx="299">
                  <c:v>316.54054920466768</c:v>
                </c:pt>
                <c:pt idx="300">
                  <c:v>318.96608606145639</c:v>
                </c:pt>
                <c:pt idx="301">
                  <c:v>330.32119176196284</c:v>
                </c:pt>
                <c:pt idx="302">
                  <c:v>335.4111386244499</c:v>
                </c:pt>
                <c:pt idx="303">
                  <c:v>337.43708207268577</c:v>
                </c:pt>
                <c:pt idx="304">
                  <c:v>341.00177289598042</c:v>
                </c:pt>
                <c:pt idx="305">
                  <c:v>341.95067098194471</c:v>
                </c:pt>
                <c:pt idx="306">
                  <c:v>343.54417375670744</c:v>
                </c:pt>
                <c:pt idx="307">
                  <c:v>347.27757901384354</c:v>
                </c:pt>
              </c:numCache>
            </c:numRef>
          </c:cat>
          <c:val>
            <c:numRef>
              <c:f>'Compiled Figure Data'!$H$2:$H$309</c:f>
              <c:numCache>
                <c:formatCode>0</c:formatCode>
                <c:ptCount val="308"/>
                <c:pt idx="0" formatCode="General">
                  <c:v>0</c:v>
                </c:pt>
                <c:pt idx="1">
                  <c:v>182.64821917808206</c:v>
                </c:pt>
                <c:pt idx="2">
                  <c:v>182.64821917808206</c:v>
                </c:pt>
                <c:pt idx="3">
                  <c:v>182.64821917808206</c:v>
                </c:pt>
                <c:pt idx="4">
                  <c:v>182.64821917808206</c:v>
                </c:pt>
                <c:pt idx="5">
                  <c:v>182.64821917808206</c:v>
                </c:pt>
                <c:pt idx="6">
                  <c:v>182.64821917808206</c:v>
                </c:pt>
                <c:pt idx="7">
                  <c:v>182.64821917808206</c:v>
                </c:pt>
                <c:pt idx="8">
                  <c:v>182.64821917808206</c:v>
                </c:pt>
                <c:pt idx="9">
                  <c:v>182.64821917808206</c:v>
                </c:pt>
                <c:pt idx="10">
                  <c:v>182.64821917808206</c:v>
                </c:pt>
                <c:pt idx="11">
                  <c:v>182.64821917808206</c:v>
                </c:pt>
                <c:pt idx="12">
                  <c:v>182.64821917808206</c:v>
                </c:pt>
                <c:pt idx="13">
                  <c:v>182.64821917808206</c:v>
                </c:pt>
                <c:pt idx="14">
                  <c:v>182.64821917808206</c:v>
                </c:pt>
                <c:pt idx="15">
                  <c:v>182.64821917808206</c:v>
                </c:pt>
                <c:pt idx="16">
                  <c:v>182.64821917808206</c:v>
                </c:pt>
                <c:pt idx="17">
                  <c:v>182.64821917808206</c:v>
                </c:pt>
                <c:pt idx="18">
                  <c:v>182.64821917808206</c:v>
                </c:pt>
                <c:pt idx="19">
                  <c:v>182.64821917808206</c:v>
                </c:pt>
                <c:pt idx="20">
                  <c:v>182.64821917808206</c:v>
                </c:pt>
                <c:pt idx="21">
                  <c:v>182.64821917808206</c:v>
                </c:pt>
                <c:pt idx="22">
                  <c:v>182.64821917808206</c:v>
                </c:pt>
                <c:pt idx="23">
                  <c:v>182.64821917808206</c:v>
                </c:pt>
                <c:pt idx="24">
                  <c:v>182.64821917808206</c:v>
                </c:pt>
                <c:pt idx="25">
                  <c:v>236.34821917808208</c:v>
                </c:pt>
                <c:pt idx="26">
                  <c:v>236.34821917808208</c:v>
                </c:pt>
                <c:pt idx="27">
                  <c:v>236.34821917808208</c:v>
                </c:pt>
                <c:pt idx="28">
                  <c:v>236.34821917808208</c:v>
                </c:pt>
                <c:pt idx="29">
                  <c:v>236.34821917808208</c:v>
                </c:pt>
                <c:pt idx="30">
                  <c:v>236.34821917808208</c:v>
                </c:pt>
                <c:pt idx="31">
                  <c:v>236.34821917808208</c:v>
                </c:pt>
                <c:pt idx="32">
                  <c:v>236.34821917808208</c:v>
                </c:pt>
                <c:pt idx="33">
                  <c:v>236.34821917808208</c:v>
                </c:pt>
                <c:pt idx="34">
                  <c:v>236.34821917808208</c:v>
                </c:pt>
                <c:pt idx="35">
                  <c:v>236.34821917808208</c:v>
                </c:pt>
                <c:pt idx="36">
                  <c:v>236.34821917808208</c:v>
                </c:pt>
                <c:pt idx="37">
                  <c:v>236.34821917808208</c:v>
                </c:pt>
                <c:pt idx="38">
                  <c:v>236.34821917808208</c:v>
                </c:pt>
                <c:pt idx="39">
                  <c:v>236.34821917808208</c:v>
                </c:pt>
                <c:pt idx="40">
                  <c:v>236.34821917808208</c:v>
                </c:pt>
                <c:pt idx="41">
                  <c:v>236.34821917808208</c:v>
                </c:pt>
                <c:pt idx="42">
                  <c:v>236.34821917808208</c:v>
                </c:pt>
                <c:pt idx="43">
                  <c:v>236.34821917808208</c:v>
                </c:pt>
                <c:pt idx="44">
                  <c:v>236.34821917808208</c:v>
                </c:pt>
                <c:pt idx="45">
                  <c:v>236.34821917808208</c:v>
                </c:pt>
                <c:pt idx="46">
                  <c:v>236.34821917808208</c:v>
                </c:pt>
                <c:pt idx="47">
                  <c:v>236.34821917808208</c:v>
                </c:pt>
                <c:pt idx="48">
                  <c:v>236.34821917808208</c:v>
                </c:pt>
                <c:pt idx="49">
                  <c:v>236.34821917808208</c:v>
                </c:pt>
                <c:pt idx="50">
                  <c:v>236.34821917808208</c:v>
                </c:pt>
                <c:pt idx="51">
                  <c:v>236.34821917808208</c:v>
                </c:pt>
                <c:pt idx="52">
                  <c:v>236.34821917808208</c:v>
                </c:pt>
                <c:pt idx="53">
                  <c:v>236.34821917808208</c:v>
                </c:pt>
                <c:pt idx="54">
                  <c:v>236.34821917808208</c:v>
                </c:pt>
                <c:pt idx="55">
                  <c:v>236.34821917808208</c:v>
                </c:pt>
                <c:pt idx="56">
                  <c:v>236.34821917808208</c:v>
                </c:pt>
                <c:pt idx="57">
                  <c:v>236.34821917808208</c:v>
                </c:pt>
                <c:pt idx="58">
                  <c:v>236.34821917808208</c:v>
                </c:pt>
                <c:pt idx="59">
                  <c:v>236.34821917808208</c:v>
                </c:pt>
                <c:pt idx="60">
                  <c:v>236.34821917808208</c:v>
                </c:pt>
                <c:pt idx="61">
                  <c:v>263.3482191780821</c:v>
                </c:pt>
                <c:pt idx="62">
                  <c:v>263.3482191780821</c:v>
                </c:pt>
                <c:pt idx="63">
                  <c:v>263.3482191780821</c:v>
                </c:pt>
                <c:pt idx="64">
                  <c:v>263.3482191780821</c:v>
                </c:pt>
                <c:pt idx="65">
                  <c:v>263.3482191780821</c:v>
                </c:pt>
                <c:pt idx="66">
                  <c:v>263.3482191780821</c:v>
                </c:pt>
                <c:pt idx="67">
                  <c:v>263.3482191780821</c:v>
                </c:pt>
                <c:pt idx="68">
                  <c:v>263.3482191780821</c:v>
                </c:pt>
                <c:pt idx="69">
                  <c:v>263.3482191780821</c:v>
                </c:pt>
                <c:pt idx="70">
                  <c:v>263.3482191780821</c:v>
                </c:pt>
                <c:pt idx="71">
                  <c:v>263.3482191780821</c:v>
                </c:pt>
                <c:pt idx="72">
                  <c:v>263.3482191780821</c:v>
                </c:pt>
                <c:pt idx="73">
                  <c:v>263.3482191780821</c:v>
                </c:pt>
                <c:pt idx="74">
                  <c:v>263.3482191780821</c:v>
                </c:pt>
                <c:pt idx="75">
                  <c:v>263.3482191780821</c:v>
                </c:pt>
                <c:pt idx="76">
                  <c:v>263.3482191780821</c:v>
                </c:pt>
                <c:pt idx="77">
                  <c:v>263.3482191780821</c:v>
                </c:pt>
                <c:pt idx="78">
                  <c:v>263.3482191780821</c:v>
                </c:pt>
                <c:pt idx="79">
                  <c:v>263.3482191780821</c:v>
                </c:pt>
                <c:pt idx="80">
                  <c:v>263.3482191780821</c:v>
                </c:pt>
                <c:pt idx="81">
                  <c:v>263.3482191780821</c:v>
                </c:pt>
                <c:pt idx="82">
                  <c:v>263.3482191780821</c:v>
                </c:pt>
                <c:pt idx="83">
                  <c:v>263.3482191780821</c:v>
                </c:pt>
                <c:pt idx="84">
                  <c:v>263.3482191780821</c:v>
                </c:pt>
                <c:pt idx="85">
                  <c:v>263.3482191780821</c:v>
                </c:pt>
                <c:pt idx="86">
                  <c:v>263.3482191780821</c:v>
                </c:pt>
                <c:pt idx="87">
                  <c:v>263.3482191780821</c:v>
                </c:pt>
                <c:pt idx="88">
                  <c:v>263.3482191780821</c:v>
                </c:pt>
                <c:pt idx="89">
                  <c:v>263.3482191780821</c:v>
                </c:pt>
                <c:pt idx="90">
                  <c:v>263.3482191780821</c:v>
                </c:pt>
                <c:pt idx="91">
                  <c:v>263.3482191780821</c:v>
                </c:pt>
                <c:pt idx="92">
                  <c:v>263.3482191780821</c:v>
                </c:pt>
                <c:pt idx="93">
                  <c:v>263.3482191780821</c:v>
                </c:pt>
                <c:pt idx="94">
                  <c:v>263.3482191780821</c:v>
                </c:pt>
                <c:pt idx="95">
                  <c:v>263.3482191780821</c:v>
                </c:pt>
                <c:pt idx="96">
                  <c:v>263.3482191780821</c:v>
                </c:pt>
                <c:pt idx="97">
                  <c:v>263.3482191780821</c:v>
                </c:pt>
                <c:pt idx="98">
                  <c:v>263.3482191780821</c:v>
                </c:pt>
                <c:pt idx="99">
                  <c:v>263.3482191780821</c:v>
                </c:pt>
                <c:pt idx="100">
                  <c:v>263.3482191780821</c:v>
                </c:pt>
                <c:pt idx="101">
                  <c:v>263.3482191780821</c:v>
                </c:pt>
                <c:pt idx="102">
                  <c:v>263.3482191780821</c:v>
                </c:pt>
                <c:pt idx="103">
                  <c:v>263.3482191780821</c:v>
                </c:pt>
                <c:pt idx="104">
                  <c:v>263.3482191780821</c:v>
                </c:pt>
                <c:pt idx="105">
                  <c:v>263.3482191780821</c:v>
                </c:pt>
                <c:pt idx="106">
                  <c:v>263.3482191780821</c:v>
                </c:pt>
                <c:pt idx="107">
                  <c:v>263.3482191780821</c:v>
                </c:pt>
                <c:pt idx="108">
                  <c:v>263.3482191780821</c:v>
                </c:pt>
                <c:pt idx="109">
                  <c:v>263.3482191780821</c:v>
                </c:pt>
                <c:pt idx="110">
                  <c:v>263.3482191780821</c:v>
                </c:pt>
                <c:pt idx="111">
                  <c:v>263.3482191780821</c:v>
                </c:pt>
                <c:pt idx="112">
                  <c:v>263.3482191780821</c:v>
                </c:pt>
                <c:pt idx="113">
                  <c:v>263.3482191780821</c:v>
                </c:pt>
                <c:pt idx="114">
                  <c:v>263.3482191780821</c:v>
                </c:pt>
                <c:pt idx="115">
                  <c:v>263.3482191780821</c:v>
                </c:pt>
                <c:pt idx="116">
                  <c:v>263.3482191780821</c:v>
                </c:pt>
                <c:pt idx="117">
                  <c:v>263.3482191780821</c:v>
                </c:pt>
                <c:pt idx="118">
                  <c:v>263.3482191780821</c:v>
                </c:pt>
                <c:pt idx="119">
                  <c:v>263.3482191780821</c:v>
                </c:pt>
                <c:pt idx="120">
                  <c:v>263.3482191780821</c:v>
                </c:pt>
                <c:pt idx="121">
                  <c:v>263.3482191780821</c:v>
                </c:pt>
                <c:pt idx="122">
                  <c:v>263.3482191780821</c:v>
                </c:pt>
                <c:pt idx="123">
                  <c:v>284.45321917808212</c:v>
                </c:pt>
                <c:pt idx="124">
                  <c:v>284.45321917808212</c:v>
                </c:pt>
                <c:pt idx="125">
                  <c:v>284.45321917808212</c:v>
                </c:pt>
                <c:pt idx="126">
                  <c:v>284.45321917808212</c:v>
                </c:pt>
                <c:pt idx="127">
                  <c:v>284.45321917808212</c:v>
                </c:pt>
                <c:pt idx="128">
                  <c:v>284.45321917808212</c:v>
                </c:pt>
                <c:pt idx="129">
                  <c:v>336.12821917808208</c:v>
                </c:pt>
                <c:pt idx="130">
                  <c:v>336.12821917808208</c:v>
                </c:pt>
                <c:pt idx="131">
                  <c:v>336.12821917808208</c:v>
                </c:pt>
                <c:pt idx="132">
                  <c:v>336.12821917808208</c:v>
                </c:pt>
                <c:pt idx="133">
                  <c:v>336.12821917808208</c:v>
                </c:pt>
                <c:pt idx="134">
                  <c:v>336.12821917808208</c:v>
                </c:pt>
                <c:pt idx="135">
                  <c:v>336.12821917808208</c:v>
                </c:pt>
                <c:pt idx="136">
                  <c:v>336.12821917808208</c:v>
                </c:pt>
                <c:pt idx="137">
                  <c:v>336.12821917808208</c:v>
                </c:pt>
                <c:pt idx="138">
                  <c:v>336.12821917808208</c:v>
                </c:pt>
                <c:pt idx="139">
                  <c:v>336.12821917808208</c:v>
                </c:pt>
                <c:pt idx="140">
                  <c:v>336.12821917808208</c:v>
                </c:pt>
                <c:pt idx="141">
                  <c:v>336.12821917808208</c:v>
                </c:pt>
                <c:pt idx="142">
                  <c:v>336.12821917808208</c:v>
                </c:pt>
                <c:pt idx="143">
                  <c:v>336.12821917808208</c:v>
                </c:pt>
                <c:pt idx="144">
                  <c:v>336.12821917808208</c:v>
                </c:pt>
                <c:pt idx="145">
                  <c:v>336.12821917808208</c:v>
                </c:pt>
                <c:pt idx="146">
                  <c:v>336.12821917808208</c:v>
                </c:pt>
                <c:pt idx="147">
                  <c:v>336.12821917808208</c:v>
                </c:pt>
                <c:pt idx="148">
                  <c:v>336.12821917808208</c:v>
                </c:pt>
                <c:pt idx="149">
                  <c:v>336.12821917808208</c:v>
                </c:pt>
                <c:pt idx="150">
                  <c:v>336.12821917808208</c:v>
                </c:pt>
                <c:pt idx="151">
                  <c:v>336.12821917808208</c:v>
                </c:pt>
                <c:pt idx="152">
                  <c:v>336.12821917808208</c:v>
                </c:pt>
                <c:pt idx="153">
                  <c:v>336.12821917808208</c:v>
                </c:pt>
                <c:pt idx="154">
                  <c:v>336.12821917808208</c:v>
                </c:pt>
                <c:pt idx="155">
                  <c:v>336.12821917808208</c:v>
                </c:pt>
                <c:pt idx="156">
                  <c:v>336.12821917808208</c:v>
                </c:pt>
                <c:pt idx="157">
                  <c:v>336.12821917808208</c:v>
                </c:pt>
                <c:pt idx="158">
                  <c:v>336.12821917808208</c:v>
                </c:pt>
                <c:pt idx="159">
                  <c:v>336.12821917808208</c:v>
                </c:pt>
                <c:pt idx="160">
                  <c:v>336.12821917808208</c:v>
                </c:pt>
                <c:pt idx="161">
                  <c:v>336.12821917808208</c:v>
                </c:pt>
                <c:pt idx="162">
                  <c:v>336.12821917808208</c:v>
                </c:pt>
                <c:pt idx="163">
                  <c:v>336.12821917808208</c:v>
                </c:pt>
                <c:pt idx="164">
                  <c:v>336.12821917808208</c:v>
                </c:pt>
                <c:pt idx="165">
                  <c:v>336.12821917808208</c:v>
                </c:pt>
                <c:pt idx="166">
                  <c:v>336.12821917808208</c:v>
                </c:pt>
                <c:pt idx="167">
                  <c:v>336.12821917808208</c:v>
                </c:pt>
                <c:pt idx="168">
                  <c:v>336.12821917808208</c:v>
                </c:pt>
                <c:pt idx="169">
                  <c:v>336.12821917808208</c:v>
                </c:pt>
                <c:pt idx="170">
                  <c:v>336.12821917808208</c:v>
                </c:pt>
                <c:pt idx="171">
                  <c:v>336.12821917808208</c:v>
                </c:pt>
                <c:pt idx="172">
                  <c:v>336.12821917808208</c:v>
                </c:pt>
                <c:pt idx="173">
                  <c:v>336.12821917808208</c:v>
                </c:pt>
                <c:pt idx="174">
                  <c:v>336.12821917808208</c:v>
                </c:pt>
                <c:pt idx="175">
                  <c:v>336.12821917808208</c:v>
                </c:pt>
                <c:pt idx="176">
                  <c:v>336.12821917808208</c:v>
                </c:pt>
                <c:pt idx="177">
                  <c:v>336.12821917808208</c:v>
                </c:pt>
                <c:pt idx="178">
                  <c:v>336.12821917808208</c:v>
                </c:pt>
                <c:pt idx="179">
                  <c:v>336.12821917808208</c:v>
                </c:pt>
                <c:pt idx="180">
                  <c:v>336.12821917808208</c:v>
                </c:pt>
                <c:pt idx="181">
                  <c:v>336.12821917808208</c:v>
                </c:pt>
                <c:pt idx="182">
                  <c:v>336.12821917808208</c:v>
                </c:pt>
                <c:pt idx="183">
                  <c:v>336.12821917808208</c:v>
                </c:pt>
                <c:pt idx="184">
                  <c:v>336.12821917808208</c:v>
                </c:pt>
                <c:pt idx="185">
                  <c:v>336.12821917808208</c:v>
                </c:pt>
                <c:pt idx="186">
                  <c:v>336.12821917808208</c:v>
                </c:pt>
                <c:pt idx="187">
                  <c:v>336.12821917808208</c:v>
                </c:pt>
                <c:pt idx="188">
                  <c:v>336.12821917808208</c:v>
                </c:pt>
                <c:pt idx="189">
                  <c:v>336.12821917808208</c:v>
                </c:pt>
                <c:pt idx="190">
                  <c:v>336.12821917808208</c:v>
                </c:pt>
                <c:pt idx="191">
                  <c:v>336.12821917808208</c:v>
                </c:pt>
                <c:pt idx="192">
                  <c:v>336.12821917808208</c:v>
                </c:pt>
                <c:pt idx="193">
                  <c:v>336.12821917808208</c:v>
                </c:pt>
                <c:pt idx="194">
                  <c:v>336.12821917808208</c:v>
                </c:pt>
                <c:pt idx="195">
                  <c:v>336.12821917808208</c:v>
                </c:pt>
                <c:pt idx="196">
                  <c:v>336.12821917808208</c:v>
                </c:pt>
                <c:pt idx="197">
                  <c:v>336.12821917808208</c:v>
                </c:pt>
                <c:pt idx="198">
                  <c:v>392.37821917808208</c:v>
                </c:pt>
                <c:pt idx="199">
                  <c:v>392.37821917808208</c:v>
                </c:pt>
                <c:pt idx="200">
                  <c:v>410.37821917808208</c:v>
                </c:pt>
                <c:pt idx="201">
                  <c:v>522.87821917808208</c:v>
                </c:pt>
                <c:pt idx="202">
                  <c:v>550.05287671232873</c:v>
                </c:pt>
                <c:pt idx="203">
                  <c:v>557.42136986301375</c:v>
                </c:pt>
                <c:pt idx="204">
                  <c:v>575.42547945205479</c:v>
                </c:pt>
                <c:pt idx="205">
                  <c:v>636.48164383561641</c:v>
                </c:pt>
                <c:pt idx="206">
                  <c:v>727.3056164383562</c:v>
                </c:pt>
                <c:pt idx="207">
                  <c:v>804.43643835616444</c:v>
                </c:pt>
                <c:pt idx="208">
                  <c:v>804.43643835616444</c:v>
                </c:pt>
                <c:pt idx="209">
                  <c:v>804.43643835616444</c:v>
                </c:pt>
                <c:pt idx="210">
                  <c:v>1239.4364383561644</c:v>
                </c:pt>
                <c:pt idx="211">
                  <c:v>1351.9364383561644</c:v>
                </c:pt>
                <c:pt idx="212">
                  <c:v>1554.4364383561644</c:v>
                </c:pt>
                <c:pt idx="213">
                  <c:v>1666.9364383561644</c:v>
                </c:pt>
                <c:pt idx="214">
                  <c:v>1790.6864383561644</c:v>
                </c:pt>
                <c:pt idx="215">
                  <c:v>1790.6864383561644</c:v>
                </c:pt>
                <c:pt idx="216">
                  <c:v>1906.1864383561644</c:v>
                </c:pt>
                <c:pt idx="217">
                  <c:v>2039.3350684931506</c:v>
                </c:pt>
                <c:pt idx="218">
                  <c:v>2082.4652054794519</c:v>
                </c:pt>
                <c:pt idx="219">
                  <c:v>2082.4652054794519</c:v>
                </c:pt>
                <c:pt idx="220">
                  <c:v>2082.4652054794519</c:v>
                </c:pt>
                <c:pt idx="221">
                  <c:v>2082.4652054794519</c:v>
                </c:pt>
                <c:pt idx="222">
                  <c:v>2082.4652054794519</c:v>
                </c:pt>
                <c:pt idx="223">
                  <c:v>2082.4652054794519</c:v>
                </c:pt>
                <c:pt idx="224">
                  <c:v>2194.9652054794519</c:v>
                </c:pt>
                <c:pt idx="225">
                  <c:v>2194.9652054794519</c:v>
                </c:pt>
                <c:pt idx="226">
                  <c:v>2194.9652054794519</c:v>
                </c:pt>
                <c:pt idx="227">
                  <c:v>2194.9652054794519</c:v>
                </c:pt>
                <c:pt idx="228">
                  <c:v>2194.9652054794519</c:v>
                </c:pt>
                <c:pt idx="229">
                  <c:v>2239.9652054794519</c:v>
                </c:pt>
                <c:pt idx="230">
                  <c:v>2239.9652054794519</c:v>
                </c:pt>
                <c:pt idx="231">
                  <c:v>2239.9652054794519</c:v>
                </c:pt>
                <c:pt idx="232">
                  <c:v>2331.1652054794517</c:v>
                </c:pt>
                <c:pt idx="233">
                  <c:v>2423.8652054794516</c:v>
                </c:pt>
                <c:pt idx="234">
                  <c:v>2423.8652054794516</c:v>
                </c:pt>
                <c:pt idx="235">
                  <c:v>2466.9902054794516</c:v>
                </c:pt>
                <c:pt idx="236">
                  <c:v>2466.9902054794516</c:v>
                </c:pt>
                <c:pt idx="237">
                  <c:v>2466.9902054794516</c:v>
                </c:pt>
                <c:pt idx="238">
                  <c:v>2466.9902054794516</c:v>
                </c:pt>
                <c:pt idx="239">
                  <c:v>2730.2402054794516</c:v>
                </c:pt>
                <c:pt idx="240">
                  <c:v>2730.2402054794516</c:v>
                </c:pt>
                <c:pt idx="241">
                  <c:v>2730.2402054794516</c:v>
                </c:pt>
                <c:pt idx="242">
                  <c:v>2730.2402054794516</c:v>
                </c:pt>
                <c:pt idx="243">
                  <c:v>2730.2402054794516</c:v>
                </c:pt>
                <c:pt idx="244">
                  <c:v>2730.2402054794516</c:v>
                </c:pt>
                <c:pt idx="245">
                  <c:v>2730.2402054794516</c:v>
                </c:pt>
                <c:pt idx="246">
                  <c:v>2730.2402054794516</c:v>
                </c:pt>
                <c:pt idx="247">
                  <c:v>2730.2402054794516</c:v>
                </c:pt>
                <c:pt idx="248">
                  <c:v>2730.2402054794516</c:v>
                </c:pt>
                <c:pt idx="249">
                  <c:v>2730.2402054794516</c:v>
                </c:pt>
                <c:pt idx="250">
                  <c:v>2730.2402054794516</c:v>
                </c:pt>
                <c:pt idx="251">
                  <c:v>2730.2402054794516</c:v>
                </c:pt>
                <c:pt idx="252">
                  <c:v>2730.2402054794516</c:v>
                </c:pt>
                <c:pt idx="253">
                  <c:v>2769.6491095890406</c:v>
                </c:pt>
                <c:pt idx="254">
                  <c:v>2769.6491095890406</c:v>
                </c:pt>
                <c:pt idx="255">
                  <c:v>2769.6491095890406</c:v>
                </c:pt>
                <c:pt idx="256">
                  <c:v>2769.6491095890406</c:v>
                </c:pt>
                <c:pt idx="257">
                  <c:v>2769.6491095890406</c:v>
                </c:pt>
                <c:pt idx="258">
                  <c:v>2769.6491095890406</c:v>
                </c:pt>
                <c:pt idx="259">
                  <c:v>2769.6491095890406</c:v>
                </c:pt>
                <c:pt idx="260">
                  <c:v>2859.6491095890406</c:v>
                </c:pt>
                <c:pt idx="261">
                  <c:v>2859.6491095890406</c:v>
                </c:pt>
                <c:pt idx="262">
                  <c:v>2859.6491095890406</c:v>
                </c:pt>
                <c:pt idx="263">
                  <c:v>2859.6491095890406</c:v>
                </c:pt>
                <c:pt idx="264">
                  <c:v>2859.6491095890406</c:v>
                </c:pt>
                <c:pt idx="265">
                  <c:v>2919.6491095890406</c:v>
                </c:pt>
                <c:pt idx="266">
                  <c:v>3020.4491095890403</c:v>
                </c:pt>
                <c:pt idx="267">
                  <c:v>3020.4491095890403</c:v>
                </c:pt>
                <c:pt idx="268">
                  <c:v>3020.4491095890403</c:v>
                </c:pt>
                <c:pt idx="269">
                  <c:v>3020.4491095890403</c:v>
                </c:pt>
                <c:pt idx="270">
                  <c:v>3020.4491095890403</c:v>
                </c:pt>
                <c:pt idx="271">
                  <c:v>3020.4491095890403</c:v>
                </c:pt>
                <c:pt idx="272">
                  <c:v>3020.4491095890403</c:v>
                </c:pt>
                <c:pt idx="273">
                  <c:v>3020.4491095890403</c:v>
                </c:pt>
                <c:pt idx="274">
                  <c:v>3020.4491095890403</c:v>
                </c:pt>
                <c:pt idx="275">
                  <c:v>3020.4491095890403</c:v>
                </c:pt>
                <c:pt idx="276">
                  <c:v>3020.4491095890403</c:v>
                </c:pt>
                <c:pt idx="277">
                  <c:v>3189.1991095890403</c:v>
                </c:pt>
                <c:pt idx="278">
                  <c:v>3189.1991095890403</c:v>
                </c:pt>
                <c:pt idx="279">
                  <c:v>3189.1991095890403</c:v>
                </c:pt>
                <c:pt idx="280">
                  <c:v>3189.1991095890403</c:v>
                </c:pt>
                <c:pt idx="281">
                  <c:v>3189.1991095890403</c:v>
                </c:pt>
                <c:pt idx="282">
                  <c:v>3189.1991095890403</c:v>
                </c:pt>
                <c:pt idx="283">
                  <c:v>3189.1991095890403</c:v>
                </c:pt>
                <c:pt idx="284">
                  <c:v>3327.2710273972593</c:v>
                </c:pt>
                <c:pt idx="285">
                  <c:v>3327.2710273972593</c:v>
                </c:pt>
                <c:pt idx="286">
                  <c:v>3327.2710273972593</c:v>
                </c:pt>
                <c:pt idx="287">
                  <c:v>3327.2710273972593</c:v>
                </c:pt>
                <c:pt idx="288">
                  <c:v>3327.2710273972593</c:v>
                </c:pt>
                <c:pt idx="289">
                  <c:v>3327.2710273972593</c:v>
                </c:pt>
                <c:pt idx="290">
                  <c:v>3327.2710273972593</c:v>
                </c:pt>
                <c:pt idx="291">
                  <c:v>3327.2710273972593</c:v>
                </c:pt>
                <c:pt idx="292">
                  <c:v>3327.2710273972593</c:v>
                </c:pt>
                <c:pt idx="293">
                  <c:v>3327.2710273972593</c:v>
                </c:pt>
                <c:pt idx="294">
                  <c:v>3462.2710273972593</c:v>
                </c:pt>
                <c:pt idx="295">
                  <c:v>3462.2710273972593</c:v>
                </c:pt>
                <c:pt idx="296">
                  <c:v>3462.2710273972593</c:v>
                </c:pt>
                <c:pt idx="297">
                  <c:v>3462.2710273972593</c:v>
                </c:pt>
                <c:pt idx="298">
                  <c:v>3462.2710273972593</c:v>
                </c:pt>
                <c:pt idx="299">
                  <c:v>3462.2710273972593</c:v>
                </c:pt>
                <c:pt idx="300">
                  <c:v>3462.2710273972593</c:v>
                </c:pt>
                <c:pt idx="301">
                  <c:v>3462.2710273972593</c:v>
                </c:pt>
                <c:pt idx="302">
                  <c:v>3462.2710273972593</c:v>
                </c:pt>
                <c:pt idx="303">
                  <c:v>3462.2710273972593</c:v>
                </c:pt>
                <c:pt idx="304">
                  <c:v>3462.2710273972593</c:v>
                </c:pt>
                <c:pt idx="305">
                  <c:v>3462.2710273972593</c:v>
                </c:pt>
                <c:pt idx="306">
                  <c:v>3462.2710273972593</c:v>
                </c:pt>
                <c:pt idx="307">
                  <c:v>3462.2710273972593</c:v>
                </c:pt>
              </c:numCache>
            </c:numRef>
          </c:val>
          <c:extLst>
            <c:ext xmlns:c16="http://schemas.microsoft.com/office/drawing/2014/chart" uri="{C3380CC4-5D6E-409C-BE32-E72D297353CC}">
              <c16:uniqueId val="{00000000-6656-4C7A-9E43-D732B67527D5}"/>
            </c:ext>
          </c:extLst>
        </c:ser>
        <c:ser>
          <c:idx val="0"/>
          <c:order val="2"/>
          <c:tx>
            <c:v>Landfills</c:v>
          </c:tx>
          <c:spPr>
            <a:solidFill>
              <a:schemeClr val="accent1"/>
            </a:solidFill>
            <a:ln>
              <a:noFill/>
            </a:ln>
            <a:effectLst/>
          </c:spPr>
          <c:cat>
            <c:numRef>
              <c:f>'Compiled Figure Data'!$C$2:$C$309</c:f>
              <c:numCache>
                <c:formatCode>0</c:formatCode>
                <c:ptCount val="308"/>
                <c:pt idx="0">
                  <c:v>0</c:v>
                </c:pt>
                <c:pt idx="1">
                  <c:v>1.4046310779005711</c:v>
                </c:pt>
                <c:pt idx="2">
                  <c:v>2.4702556784183272</c:v>
                </c:pt>
                <c:pt idx="3">
                  <c:v>2.68069823117616</c:v>
                </c:pt>
                <c:pt idx="4">
                  <c:v>2.7527748833496348</c:v>
                </c:pt>
                <c:pt idx="5">
                  <c:v>3.4327601232069744</c:v>
                </c:pt>
                <c:pt idx="6">
                  <c:v>6.0908663601126891</c:v>
                </c:pt>
                <c:pt idx="7">
                  <c:v>6.1498864349122666</c:v>
                </c:pt>
                <c:pt idx="8">
                  <c:v>7.5443422011709549</c:v>
                </c:pt>
                <c:pt idx="9">
                  <c:v>8.0346310480680998</c:v>
                </c:pt>
                <c:pt idx="10">
                  <c:v>8.6610870541652041</c:v>
                </c:pt>
                <c:pt idx="11">
                  <c:v>8.9713608919098533</c:v>
                </c:pt>
                <c:pt idx="12">
                  <c:v>9.3027651670087241</c:v>
                </c:pt>
                <c:pt idx="13">
                  <c:v>9.6609850578107395</c:v>
                </c:pt>
                <c:pt idx="14">
                  <c:v>10.173954496716529</c:v>
                </c:pt>
                <c:pt idx="15">
                  <c:v>10.951698134049566</c:v>
                </c:pt>
                <c:pt idx="16">
                  <c:v>11.006656074976426</c:v>
                </c:pt>
                <c:pt idx="17">
                  <c:v>11.998331731412774</c:v>
                </c:pt>
                <c:pt idx="18">
                  <c:v>12.080447126501223</c:v>
                </c:pt>
                <c:pt idx="19">
                  <c:v>12.250782125004831</c:v>
                </c:pt>
                <c:pt idx="20">
                  <c:v>12.386703578087259</c:v>
                </c:pt>
                <c:pt idx="21">
                  <c:v>12.924933706589929</c:v>
                </c:pt>
                <c:pt idx="22">
                  <c:v>13.271840315292051</c:v>
                </c:pt>
                <c:pt idx="23">
                  <c:v>13.972805534408666</c:v>
                </c:pt>
                <c:pt idx="24">
                  <c:v>14.037777148756684</c:v>
                </c:pt>
                <c:pt idx="25">
                  <c:v>14.426763063259877</c:v>
                </c:pt>
                <c:pt idx="26">
                  <c:v>14.815069824975689</c:v>
                </c:pt>
                <c:pt idx="27">
                  <c:v>14.886271723168052</c:v>
                </c:pt>
                <c:pt idx="28">
                  <c:v>15.095434009849177</c:v>
                </c:pt>
                <c:pt idx="29">
                  <c:v>15.120536530618882</c:v>
                </c:pt>
                <c:pt idx="30">
                  <c:v>15.22739464830966</c:v>
                </c:pt>
                <c:pt idx="31">
                  <c:v>16.183960221863188</c:v>
                </c:pt>
                <c:pt idx="32">
                  <c:v>16.424658345063282</c:v>
                </c:pt>
                <c:pt idx="33">
                  <c:v>16.433818894768969</c:v>
                </c:pt>
                <c:pt idx="34">
                  <c:v>16.800713325318732</c:v>
                </c:pt>
                <c:pt idx="35">
                  <c:v>16.990834500929321</c:v>
                </c:pt>
                <c:pt idx="36">
                  <c:v>17.714212794932315</c:v>
                </c:pt>
                <c:pt idx="37">
                  <c:v>17.742753823722307</c:v>
                </c:pt>
                <c:pt idx="38">
                  <c:v>17.938370310908695</c:v>
                </c:pt>
                <c:pt idx="39">
                  <c:v>17.993739908640254</c:v>
                </c:pt>
                <c:pt idx="40">
                  <c:v>18.6516633430792</c:v>
                </c:pt>
                <c:pt idx="41">
                  <c:v>18.760289788414092</c:v>
                </c:pt>
                <c:pt idx="42">
                  <c:v>18.85115252111413</c:v>
                </c:pt>
                <c:pt idx="43">
                  <c:v>19.570575990424445</c:v>
                </c:pt>
                <c:pt idx="44">
                  <c:v>19.665259051100929</c:v>
                </c:pt>
                <c:pt idx="45">
                  <c:v>19.989305605374682</c:v>
                </c:pt>
                <c:pt idx="46">
                  <c:v>20.37339895146928</c:v>
                </c:pt>
                <c:pt idx="47">
                  <c:v>20.561160555831567</c:v>
                </c:pt>
                <c:pt idx="48">
                  <c:v>20.800369040204021</c:v>
                </c:pt>
                <c:pt idx="49">
                  <c:v>20.831523592590994</c:v>
                </c:pt>
                <c:pt idx="50">
                  <c:v>20.921825514692063</c:v>
                </c:pt>
                <c:pt idx="51">
                  <c:v>21.077841679990687</c:v>
                </c:pt>
                <c:pt idx="52">
                  <c:v>21.089378686935177</c:v>
                </c:pt>
                <c:pt idx="53">
                  <c:v>21.266399300188986</c:v>
                </c:pt>
                <c:pt idx="54">
                  <c:v>21.321325545521283</c:v>
                </c:pt>
                <c:pt idx="55">
                  <c:v>21.562970996431705</c:v>
                </c:pt>
                <c:pt idx="56">
                  <c:v>22.007815038292513</c:v>
                </c:pt>
                <c:pt idx="57">
                  <c:v>22.61054086929289</c:v>
                </c:pt>
                <c:pt idx="58">
                  <c:v>22.964959855656378</c:v>
                </c:pt>
                <c:pt idx="59">
                  <c:v>23.181681342989201</c:v>
                </c:pt>
                <c:pt idx="60">
                  <c:v>23.27261805806776</c:v>
                </c:pt>
                <c:pt idx="61">
                  <c:v>23.361862289289302</c:v>
                </c:pt>
                <c:pt idx="62">
                  <c:v>23.424501258482294</c:v>
                </c:pt>
                <c:pt idx="63">
                  <c:v>25.214850768985311</c:v>
                </c:pt>
                <c:pt idx="64">
                  <c:v>25.51251923137821</c:v>
                </c:pt>
                <c:pt idx="65">
                  <c:v>25.820933578130379</c:v>
                </c:pt>
                <c:pt idx="66">
                  <c:v>25.914926992119298</c:v>
                </c:pt>
                <c:pt idx="67">
                  <c:v>25.942997509440051</c:v>
                </c:pt>
                <c:pt idx="68">
                  <c:v>25.98753496478988</c:v>
                </c:pt>
                <c:pt idx="69">
                  <c:v>26.112900290432218</c:v>
                </c:pt>
                <c:pt idx="70">
                  <c:v>26.449557488016872</c:v>
                </c:pt>
                <c:pt idx="71">
                  <c:v>26.77457150901742</c:v>
                </c:pt>
                <c:pt idx="72">
                  <c:v>26.802119627783849</c:v>
                </c:pt>
                <c:pt idx="73">
                  <c:v>27.159989088644799</c:v>
                </c:pt>
                <c:pt idx="74">
                  <c:v>27.318491989314897</c:v>
                </c:pt>
                <c:pt idx="75">
                  <c:v>27.325953227814399</c:v>
                </c:pt>
                <c:pt idx="76">
                  <c:v>27.394971727163004</c:v>
                </c:pt>
                <c:pt idx="77">
                  <c:v>27.499381793883813</c:v>
                </c:pt>
                <c:pt idx="78">
                  <c:v>27.704396749478885</c:v>
                </c:pt>
                <c:pt idx="79">
                  <c:v>27.889536495691605</c:v>
                </c:pt>
                <c:pt idx="80">
                  <c:v>28.539800624149532</c:v>
                </c:pt>
                <c:pt idx="81">
                  <c:v>28.543150840720447</c:v>
                </c:pt>
                <c:pt idx="82">
                  <c:v>28.918892171853191</c:v>
                </c:pt>
                <c:pt idx="83">
                  <c:v>29.200681819266389</c:v>
                </c:pt>
                <c:pt idx="84">
                  <c:v>29.227309058358237</c:v>
                </c:pt>
                <c:pt idx="85">
                  <c:v>29.29043773526719</c:v>
                </c:pt>
                <c:pt idx="86">
                  <c:v>29.296685928366401</c:v>
                </c:pt>
                <c:pt idx="87">
                  <c:v>29.32177908941696</c:v>
                </c:pt>
                <c:pt idx="88">
                  <c:v>29.43861128409176</c:v>
                </c:pt>
                <c:pt idx="89">
                  <c:v>29.655613809548683</c:v>
                </c:pt>
                <c:pt idx="90">
                  <c:v>29.851901657471959</c:v>
                </c:pt>
                <c:pt idx="91">
                  <c:v>30.181150857930177</c:v>
                </c:pt>
                <c:pt idx="92">
                  <c:v>30.21516263502264</c:v>
                </c:pt>
                <c:pt idx="93">
                  <c:v>30.68746973428841</c:v>
                </c:pt>
                <c:pt idx="94">
                  <c:v>30.802577306258083</c:v>
                </c:pt>
                <c:pt idx="95">
                  <c:v>31.134205123910107</c:v>
                </c:pt>
                <c:pt idx="96">
                  <c:v>31.183750979366685</c:v>
                </c:pt>
                <c:pt idx="97">
                  <c:v>31.622110588293662</c:v>
                </c:pt>
                <c:pt idx="98">
                  <c:v>31.64680404496379</c:v>
                </c:pt>
                <c:pt idx="99">
                  <c:v>31.706651981357162</c:v>
                </c:pt>
                <c:pt idx="100">
                  <c:v>31.816391623208716</c:v>
                </c:pt>
                <c:pt idx="101">
                  <c:v>32.027266881965978</c:v>
                </c:pt>
                <c:pt idx="102">
                  <c:v>32.047496892226583</c:v>
                </c:pt>
                <c:pt idx="103">
                  <c:v>32.180751822299257</c:v>
                </c:pt>
                <c:pt idx="104">
                  <c:v>32.187906496467718</c:v>
                </c:pt>
                <c:pt idx="105">
                  <c:v>32.212322262915123</c:v>
                </c:pt>
                <c:pt idx="106">
                  <c:v>32.346825722501393</c:v>
                </c:pt>
                <c:pt idx="107">
                  <c:v>32.36421533087087</c:v>
                </c:pt>
                <c:pt idx="108">
                  <c:v>32.375638019742745</c:v>
                </c:pt>
                <c:pt idx="109">
                  <c:v>32.666793095832141</c:v>
                </c:pt>
                <c:pt idx="110">
                  <c:v>32.666793095832141</c:v>
                </c:pt>
                <c:pt idx="111">
                  <c:v>32.786753624317441</c:v>
                </c:pt>
                <c:pt idx="112">
                  <c:v>32.831360717747344</c:v>
                </c:pt>
                <c:pt idx="113">
                  <c:v>33.194167991264663</c:v>
                </c:pt>
                <c:pt idx="114">
                  <c:v>33.761570545456038</c:v>
                </c:pt>
                <c:pt idx="115">
                  <c:v>33.905386014866622</c:v>
                </c:pt>
                <c:pt idx="116">
                  <c:v>33.967800457105398</c:v>
                </c:pt>
                <c:pt idx="117">
                  <c:v>34.248844774383699</c:v>
                </c:pt>
                <c:pt idx="118">
                  <c:v>34.470783119689656</c:v>
                </c:pt>
                <c:pt idx="119">
                  <c:v>34.546730678977816</c:v>
                </c:pt>
                <c:pt idx="120">
                  <c:v>34.886956431299105</c:v>
                </c:pt>
                <c:pt idx="121">
                  <c:v>34.922695631195474</c:v>
                </c:pt>
                <c:pt idx="122">
                  <c:v>35.14421278818957</c:v>
                </c:pt>
                <c:pt idx="123">
                  <c:v>35.19168381632214</c:v>
                </c:pt>
                <c:pt idx="124">
                  <c:v>35.638579294599346</c:v>
                </c:pt>
                <c:pt idx="125">
                  <c:v>35.973792500663549</c:v>
                </c:pt>
                <c:pt idx="126">
                  <c:v>36.12557922189643</c:v>
                </c:pt>
                <c:pt idx="127">
                  <c:v>36.351449149296826</c:v>
                </c:pt>
                <c:pt idx="128">
                  <c:v>36.598230258520587</c:v>
                </c:pt>
                <c:pt idx="129">
                  <c:v>37.044906729637937</c:v>
                </c:pt>
                <c:pt idx="130">
                  <c:v>37.090692978899554</c:v>
                </c:pt>
                <c:pt idx="131">
                  <c:v>37.260491091965157</c:v>
                </c:pt>
                <c:pt idx="132">
                  <c:v>37.312892579717634</c:v>
                </c:pt>
                <c:pt idx="133">
                  <c:v>37.536393880274389</c:v>
                </c:pt>
                <c:pt idx="134">
                  <c:v>37.684700886248507</c:v>
                </c:pt>
                <c:pt idx="135">
                  <c:v>37.730547747059695</c:v>
                </c:pt>
                <c:pt idx="136">
                  <c:v>37.873448339372331</c:v>
                </c:pt>
                <c:pt idx="137">
                  <c:v>37.896576954446125</c:v>
                </c:pt>
                <c:pt idx="138">
                  <c:v>38.24632113172062</c:v>
                </c:pt>
                <c:pt idx="139">
                  <c:v>38.47572975662812</c:v>
                </c:pt>
                <c:pt idx="140">
                  <c:v>38.560305645844693</c:v>
                </c:pt>
                <c:pt idx="141">
                  <c:v>38.88192382330417</c:v>
                </c:pt>
                <c:pt idx="142">
                  <c:v>38.963083857856425</c:v>
                </c:pt>
                <c:pt idx="143">
                  <c:v>39.100150996875804</c:v>
                </c:pt>
                <c:pt idx="144">
                  <c:v>39.180630786994605</c:v>
                </c:pt>
                <c:pt idx="145">
                  <c:v>39.227990592280371</c:v>
                </c:pt>
                <c:pt idx="146">
                  <c:v>39.331976566599664</c:v>
                </c:pt>
                <c:pt idx="147">
                  <c:v>39.688823898471959</c:v>
                </c:pt>
                <c:pt idx="148">
                  <c:v>39.806965604846638</c:v>
                </c:pt>
                <c:pt idx="149">
                  <c:v>39.859368929621013</c:v>
                </c:pt>
                <c:pt idx="150">
                  <c:v>40.024693803514232</c:v>
                </c:pt>
                <c:pt idx="151">
                  <c:v>40.135154668839377</c:v>
                </c:pt>
                <c:pt idx="152">
                  <c:v>40.273763091758454</c:v>
                </c:pt>
                <c:pt idx="153">
                  <c:v>40.453872392056383</c:v>
                </c:pt>
                <c:pt idx="154">
                  <c:v>40.585342831100974</c:v>
                </c:pt>
                <c:pt idx="155">
                  <c:v>40.636204035144679</c:v>
                </c:pt>
                <c:pt idx="156">
                  <c:v>40.786090672150053</c:v>
                </c:pt>
                <c:pt idx="157">
                  <c:v>41.011109980748714</c:v>
                </c:pt>
                <c:pt idx="158">
                  <c:v>41.130376289444904</c:v>
                </c:pt>
                <c:pt idx="159">
                  <c:v>41.149288697101063</c:v>
                </c:pt>
                <c:pt idx="160">
                  <c:v>41.384750539784271</c:v>
                </c:pt>
                <c:pt idx="161">
                  <c:v>41.880963471224163</c:v>
                </c:pt>
                <c:pt idx="162">
                  <c:v>42.174549764529743</c:v>
                </c:pt>
                <c:pt idx="163">
                  <c:v>42.361712299562051</c:v>
                </c:pt>
                <c:pt idx="164">
                  <c:v>42.372178472429432</c:v>
                </c:pt>
                <c:pt idx="165">
                  <c:v>42.435506098397454</c:v>
                </c:pt>
                <c:pt idx="166">
                  <c:v>43.010684860244432</c:v>
                </c:pt>
                <c:pt idx="167">
                  <c:v>43.310129386309264</c:v>
                </c:pt>
                <c:pt idx="168">
                  <c:v>43.398046375737316</c:v>
                </c:pt>
                <c:pt idx="169">
                  <c:v>43.616122596157091</c:v>
                </c:pt>
                <c:pt idx="170">
                  <c:v>43.68287379027916</c:v>
                </c:pt>
                <c:pt idx="171">
                  <c:v>43.686811543092055</c:v>
                </c:pt>
                <c:pt idx="172">
                  <c:v>43.787750066709229</c:v>
                </c:pt>
                <c:pt idx="173">
                  <c:v>43.93938193465867</c:v>
                </c:pt>
                <c:pt idx="174">
                  <c:v>44.262852724302661</c:v>
                </c:pt>
                <c:pt idx="175">
                  <c:v>44.264933972954999</c:v>
                </c:pt>
                <c:pt idx="176">
                  <c:v>44.707715597375476</c:v>
                </c:pt>
                <c:pt idx="177">
                  <c:v>45.225358712753895</c:v>
                </c:pt>
                <c:pt idx="178">
                  <c:v>45.431606780021426</c:v>
                </c:pt>
                <c:pt idx="179">
                  <c:v>45.694015907157628</c:v>
                </c:pt>
                <c:pt idx="180">
                  <c:v>45.981774838685958</c:v>
                </c:pt>
                <c:pt idx="181">
                  <c:v>46.027092429831576</c:v>
                </c:pt>
                <c:pt idx="182">
                  <c:v>46.034794093514229</c:v>
                </c:pt>
                <c:pt idx="183">
                  <c:v>46.116868342573959</c:v>
                </c:pt>
                <c:pt idx="184">
                  <c:v>46.668641228325932</c:v>
                </c:pt>
                <c:pt idx="185">
                  <c:v>46.911299323462437</c:v>
                </c:pt>
                <c:pt idx="186">
                  <c:v>46.91574298836403</c:v>
                </c:pt>
                <c:pt idx="187">
                  <c:v>47.260884660032424</c:v>
                </c:pt>
                <c:pt idx="188">
                  <c:v>47.308250046430445</c:v>
                </c:pt>
                <c:pt idx="189">
                  <c:v>47.317104921510953</c:v>
                </c:pt>
                <c:pt idx="190">
                  <c:v>47.44376388056132</c:v>
                </c:pt>
                <c:pt idx="191">
                  <c:v>47.538944583173652</c:v>
                </c:pt>
                <c:pt idx="192">
                  <c:v>47.969525150943426</c:v>
                </c:pt>
                <c:pt idx="193">
                  <c:v>48.909502026054639</c:v>
                </c:pt>
                <c:pt idx="194">
                  <c:v>48.95975767779602</c:v>
                </c:pt>
                <c:pt idx="195">
                  <c:v>49.372470912723109</c:v>
                </c:pt>
                <c:pt idx="196">
                  <c:v>49.378081296668533</c:v>
                </c:pt>
                <c:pt idx="197">
                  <c:v>49.46966968039186</c:v>
                </c:pt>
                <c:pt idx="198">
                  <c:v>49.536432468394175</c:v>
                </c:pt>
                <c:pt idx="199">
                  <c:v>49.56950818305728</c:v>
                </c:pt>
                <c:pt idx="200">
                  <c:v>55.722316770371513</c:v>
                </c:pt>
                <c:pt idx="201">
                  <c:v>56.619180569154835</c:v>
                </c:pt>
                <c:pt idx="202">
                  <c:v>65.693781546131731</c:v>
                </c:pt>
                <c:pt idx="203">
                  <c:v>68.410458262014558</c:v>
                </c:pt>
                <c:pt idx="204">
                  <c:v>70.753185445247553</c:v>
                </c:pt>
                <c:pt idx="205">
                  <c:v>73.394038287938969</c:v>
                </c:pt>
                <c:pt idx="206">
                  <c:v>79.67105707802709</c:v>
                </c:pt>
                <c:pt idx="207">
                  <c:v>85.041062291215667</c:v>
                </c:pt>
                <c:pt idx="208">
                  <c:v>89.470359075931441</c:v>
                </c:pt>
                <c:pt idx="209">
                  <c:v>90.291195425637838</c:v>
                </c:pt>
                <c:pt idx="210">
                  <c:v>97.442068087446728</c:v>
                </c:pt>
                <c:pt idx="211">
                  <c:v>99.167276138508896</c:v>
                </c:pt>
                <c:pt idx="212">
                  <c:v>103.12907269316706</c:v>
                </c:pt>
                <c:pt idx="213">
                  <c:v>103.91800427627074</c:v>
                </c:pt>
                <c:pt idx="214">
                  <c:v>105.59718591151733</c:v>
                </c:pt>
                <c:pt idx="215">
                  <c:v>109.59006141177446</c:v>
                </c:pt>
                <c:pt idx="216">
                  <c:v>114.99267884819633</c:v>
                </c:pt>
                <c:pt idx="217">
                  <c:v>116.57495117287384</c:v>
                </c:pt>
                <c:pt idx="218">
                  <c:v>119.5620814078198</c:v>
                </c:pt>
                <c:pt idx="219">
                  <c:v>129.41938375436897</c:v>
                </c:pt>
                <c:pt idx="220">
                  <c:v>134.59198604814748</c:v>
                </c:pt>
                <c:pt idx="221">
                  <c:v>147.83615349221355</c:v>
                </c:pt>
                <c:pt idx="222">
                  <c:v>152.51557578297331</c:v>
                </c:pt>
                <c:pt idx="223">
                  <c:v>153.12734946132272</c:v>
                </c:pt>
                <c:pt idx="224">
                  <c:v>155.0552975371852</c:v>
                </c:pt>
                <c:pt idx="225">
                  <c:v>155.27003710835504</c:v>
                </c:pt>
                <c:pt idx="226">
                  <c:v>157.5379158798138</c:v>
                </c:pt>
                <c:pt idx="227">
                  <c:v>159.95288917433831</c:v>
                </c:pt>
                <c:pt idx="228">
                  <c:v>163.47117958524876</c:v>
                </c:pt>
                <c:pt idx="229">
                  <c:v>164.88446644568634</c:v>
                </c:pt>
                <c:pt idx="230">
                  <c:v>172.9057528833913</c:v>
                </c:pt>
                <c:pt idx="231">
                  <c:v>177.01683905773078</c:v>
                </c:pt>
                <c:pt idx="232">
                  <c:v>179.11507766138874</c:v>
                </c:pt>
                <c:pt idx="233">
                  <c:v>180.48456860280973</c:v>
                </c:pt>
                <c:pt idx="234">
                  <c:v>180.77840578298955</c:v>
                </c:pt>
                <c:pt idx="235">
                  <c:v>183.06005762914609</c:v>
                </c:pt>
                <c:pt idx="236">
                  <c:v>183.39527556652865</c:v>
                </c:pt>
                <c:pt idx="237">
                  <c:v>185.38403576257224</c:v>
                </c:pt>
                <c:pt idx="238">
                  <c:v>193.00156659280177</c:v>
                </c:pt>
                <c:pt idx="239">
                  <c:v>194.63374221459202</c:v>
                </c:pt>
                <c:pt idx="240">
                  <c:v>195.37838672821837</c:v>
                </c:pt>
                <c:pt idx="241">
                  <c:v>196.12752903495348</c:v>
                </c:pt>
                <c:pt idx="242">
                  <c:v>200.97007474888306</c:v>
                </c:pt>
                <c:pt idx="243">
                  <c:v>202.64558208976098</c:v>
                </c:pt>
                <c:pt idx="244">
                  <c:v>203.65287145119498</c:v>
                </c:pt>
                <c:pt idx="245">
                  <c:v>204.3441032665767</c:v>
                </c:pt>
                <c:pt idx="246">
                  <c:v>205.21340864145975</c:v>
                </c:pt>
                <c:pt idx="247">
                  <c:v>206.20326141217876</c:v>
                </c:pt>
                <c:pt idx="248">
                  <c:v>206.80468667709141</c:v>
                </c:pt>
                <c:pt idx="249">
                  <c:v>207.785252383879</c:v>
                </c:pt>
                <c:pt idx="250">
                  <c:v>210.78363812771505</c:v>
                </c:pt>
                <c:pt idx="251">
                  <c:v>216.30600684554585</c:v>
                </c:pt>
                <c:pt idx="252">
                  <c:v>218.84303055439884</c:v>
                </c:pt>
                <c:pt idx="253">
                  <c:v>220.10917995494873</c:v>
                </c:pt>
                <c:pt idx="254">
                  <c:v>220.92229703958515</c:v>
                </c:pt>
                <c:pt idx="255">
                  <c:v>223.58237953845889</c:v>
                </c:pt>
                <c:pt idx="256">
                  <c:v>225.92651297320234</c:v>
                </c:pt>
                <c:pt idx="257">
                  <c:v>227.47187170007192</c:v>
                </c:pt>
                <c:pt idx="258">
                  <c:v>232.06209296819563</c:v>
                </c:pt>
                <c:pt idx="259">
                  <c:v>233.01090756778328</c:v>
                </c:pt>
                <c:pt idx="260">
                  <c:v>237.36068705099731</c:v>
                </c:pt>
                <c:pt idx="261">
                  <c:v>237.42082168695376</c:v>
                </c:pt>
                <c:pt idx="262">
                  <c:v>237.66188406089225</c:v>
                </c:pt>
                <c:pt idx="263">
                  <c:v>239.57891148340826</c:v>
                </c:pt>
                <c:pt idx="264">
                  <c:v>239.71835280543164</c:v>
                </c:pt>
                <c:pt idx="265">
                  <c:v>241.5621792013583</c:v>
                </c:pt>
                <c:pt idx="266">
                  <c:v>243.4163460233342</c:v>
                </c:pt>
                <c:pt idx="267">
                  <c:v>244.43585087452666</c:v>
                </c:pt>
                <c:pt idx="268">
                  <c:v>245.12246052117305</c:v>
                </c:pt>
                <c:pt idx="269">
                  <c:v>247.02822276347646</c:v>
                </c:pt>
                <c:pt idx="270">
                  <c:v>247.32076241697564</c:v>
                </c:pt>
                <c:pt idx="271">
                  <c:v>254.42928879408157</c:v>
                </c:pt>
                <c:pt idx="272">
                  <c:v>255.59223469246845</c:v>
                </c:pt>
                <c:pt idx="273">
                  <c:v>256.4237667237972</c:v>
                </c:pt>
                <c:pt idx="274">
                  <c:v>256.71439008771517</c:v>
                </c:pt>
                <c:pt idx="275">
                  <c:v>262.63793036277656</c:v>
                </c:pt>
                <c:pt idx="276">
                  <c:v>269.31382196148911</c:v>
                </c:pt>
                <c:pt idx="277">
                  <c:v>269.5272118866074</c:v>
                </c:pt>
                <c:pt idx="278">
                  <c:v>272.58735489510605</c:v>
                </c:pt>
                <c:pt idx="279">
                  <c:v>275.67750455330525</c:v>
                </c:pt>
                <c:pt idx="280">
                  <c:v>276.30486635441474</c:v>
                </c:pt>
                <c:pt idx="281">
                  <c:v>279.00277584799187</c:v>
                </c:pt>
                <c:pt idx="282">
                  <c:v>280.59424303230304</c:v>
                </c:pt>
                <c:pt idx="283">
                  <c:v>281.85130216952047</c:v>
                </c:pt>
                <c:pt idx="284">
                  <c:v>282.71746368254986</c:v>
                </c:pt>
                <c:pt idx="285">
                  <c:v>282.79746552617752</c:v>
                </c:pt>
                <c:pt idx="286">
                  <c:v>283.18949925834346</c:v>
                </c:pt>
                <c:pt idx="287">
                  <c:v>295.37406653547697</c:v>
                </c:pt>
                <c:pt idx="288">
                  <c:v>298.25596265005868</c:v>
                </c:pt>
                <c:pt idx="289">
                  <c:v>298.9960494033898</c:v>
                </c:pt>
                <c:pt idx="290">
                  <c:v>300.47708405379399</c:v>
                </c:pt>
                <c:pt idx="291">
                  <c:v>303.70888926150599</c:v>
                </c:pt>
                <c:pt idx="292">
                  <c:v>305.91034715070822</c:v>
                </c:pt>
                <c:pt idx="293">
                  <c:v>306.24124736413393</c:v>
                </c:pt>
                <c:pt idx="294">
                  <c:v>307.00939929751934</c:v>
                </c:pt>
                <c:pt idx="295">
                  <c:v>307.41001471343498</c:v>
                </c:pt>
                <c:pt idx="296">
                  <c:v>309.16210374360304</c:v>
                </c:pt>
                <c:pt idx="297">
                  <c:v>310.34800248632098</c:v>
                </c:pt>
                <c:pt idx="298">
                  <c:v>312.72591719920104</c:v>
                </c:pt>
                <c:pt idx="299">
                  <c:v>316.54054920466768</c:v>
                </c:pt>
                <c:pt idx="300">
                  <c:v>318.96608606145639</c:v>
                </c:pt>
                <c:pt idx="301">
                  <c:v>330.32119176196284</c:v>
                </c:pt>
                <c:pt idx="302">
                  <c:v>335.4111386244499</c:v>
                </c:pt>
                <c:pt idx="303">
                  <c:v>337.43708207268577</c:v>
                </c:pt>
                <c:pt idx="304">
                  <c:v>341.00177289598042</c:v>
                </c:pt>
                <c:pt idx="305">
                  <c:v>341.95067098194471</c:v>
                </c:pt>
                <c:pt idx="306">
                  <c:v>343.54417375670744</c:v>
                </c:pt>
                <c:pt idx="307">
                  <c:v>347.27757901384354</c:v>
                </c:pt>
              </c:numCache>
            </c:numRef>
          </c:cat>
          <c:val>
            <c:numRef>
              <c:f>'Compiled Figure Data'!$G$2:$G$309</c:f>
              <c:numCache>
                <c:formatCode>0</c:formatCode>
                <c:ptCount val="308"/>
                <c:pt idx="0" formatCode="General">
                  <c:v>0</c:v>
                </c:pt>
                <c:pt idx="1">
                  <c:v>0</c:v>
                </c:pt>
                <c:pt idx="2">
                  <c:v>0</c:v>
                </c:pt>
                <c:pt idx="3">
                  <c:v>0</c:v>
                </c:pt>
                <c:pt idx="4">
                  <c:v>0</c:v>
                </c:pt>
                <c:pt idx="5">
                  <c:v>0</c:v>
                </c:pt>
                <c:pt idx="6">
                  <c:v>104.18561643835608</c:v>
                </c:pt>
                <c:pt idx="7">
                  <c:v>104.18561643835608</c:v>
                </c:pt>
                <c:pt idx="8">
                  <c:v>104.18561643835608</c:v>
                </c:pt>
                <c:pt idx="9">
                  <c:v>104.18561643835608</c:v>
                </c:pt>
                <c:pt idx="10">
                  <c:v>104.18561643835608</c:v>
                </c:pt>
                <c:pt idx="11">
                  <c:v>104.18561643835608</c:v>
                </c:pt>
                <c:pt idx="12">
                  <c:v>104.18561643835608</c:v>
                </c:pt>
                <c:pt idx="13">
                  <c:v>104.18561643835608</c:v>
                </c:pt>
                <c:pt idx="14">
                  <c:v>104.18561643835608</c:v>
                </c:pt>
                <c:pt idx="15">
                  <c:v>104.18561643835608</c:v>
                </c:pt>
                <c:pt idx="16">
                  <c:v>104.18561643835608</c:v>
                </c:pt>
                <c:pt idx="17">
                  <c:v>104.18561643835608</c:v>
                </c:pt>
                <c:pt idx="18">
                  <c:v>104.18561643835608</c:v>
                </c:pt>
                <c:pt idx="19">
                  <c:v>104.18561643835608</c:v>
                </c:pt>
                <c:pt idx="20">
                  <c:v>104.18561643835608</c:v>
                </c:pt>
                <c:pt idx="21">
                  <c:v>104.18561643835608</c:v>
                </c:pt>
                <c:pt idx="22">
                  <c:v>104.18561643835608</c:v>
                </c:pt>
                <c:pt idx="23">
                  <c:v>104.18561643835608</c:v>
                </c:pt>
                <c:pt idx="24">
                  <c:v>104.18561643835608</c:v>
                </c:pt>
                <c:pt idx="25">
                  <c:v>104.18561643835608</c:v>
                </c:pt>
                <c:pt idx="26">
                  <c:v>104.18561643835608</c:v>
                </c:pt>
                <c:pt idx="27">
                  <c:v>104.18561643835608</c:v>
                </c:pt>
                <c:pt idx="28">
                  <c:v>104.18561643835608</c:v>
                </c:pt>
                <c:pt idx="29">
                  <c:v>104.18561643835608</c:v>
                </c:pt>
                <c:pt idx="30">
                  <c:v>104.18561643835608</c:v>
                </c:pt>
                <c:pt idx="31">
                  <c:v>104.18561643835608</c:v>
                </c:pt>
                <c:pt idx="32">
                  <c:v>104.18561643835608</c:v>
                </c:pt>
                <c:pt idx="33">
                  <c:v>104.18561643835608</c:v>
                </c:pt>
                <c:pt idx="34">
                  <c:v>104.18561643835608</c:v>
                </c:pt>
                <c:pt idx="35">
                  <c:v>104.18561643835608</c:v>
                </c:pt>
                <c:pt idx="36">
                  <c:v>104.18561643835608</c:v>
                </c:pt>
                <c:pt idx="37">
                  <c:v>104.18561643835608</c:v>
                </c:pt>
                <c:pt idx="38">
                  <c:v>104.18561643835608</c:v>
                </c:pt>
                <c:pt idx="39">
                  <c:v>104.18561643835608</c:v>
                </c:pt>
                <c:pt idx="40">
                  <c:v>104.18561643835608</c:v>
                </c:pt>
                <c:pt idx="41">
                  <c:v>104.18561643835608</c:v>
                </c:pt>
                <c:pt idx="42">
                  <c:v>104.18561643835608</c:v>
                </c:pt>
                <c:pt idx="43">
                  <c:v>104.18561643835608</c:v>
                </c:pt>
                <c:pt idx="44">
                  <c:v>104.18561643835608</c:v>
                </c:pt>
                <c:pt idx="45">
                  <c:v>104.18561643835608</c:v>
                </c:pt>
                <c:pt idx="46">
                  <c:v>104.18561643835608</c:v>
                </c:pt>
                <c:pt idx="47">
                  <c:v>104.18561643835608</c:v>
                </c:pt>
                <c:pt idx="48">
                  <c:v>104.18561643835608</c:v>
                </c:pt>
                <c:pt idx="49">
                  <c:v>104.18561643835608</c:v>
                </c:pt>
                <c:pt idx="50">
                  <c:v>104.18561643835608</c:v>
                </c:pt>
                <c:pt idx="51">
                  <c:v>104.18561643835608</c:v>
                </c:pt>
                <c:pt idx="52">
                  <c:v>104.18561643835608</c:v>
                </c:pt>
                <c:pt idx="53">
                  <c:v>104.18561643835608</c:v>
                </c:pt>
                <c:pt idx="54">
                  <c:v>104.18561643835608</c:v>
                </c:pt>
                <c:pt idx="55">
                  <c:v>104.18561643835608</c:v>
                </c:pt>
                <c:pt idx="56">
                  <c:v>104.18561643835608</c:v>
                </c:pt>
                <c:pt idx="57">
                  <c:v>104.18561643835608</c:v>
                </c:pt>
                <c:pt idx="58">
                  <c:v>104.18561643835608</c:v>
                </c:pt>
                <c:pt idx="59">
                  <c:v>104.18561643835608</c:v>
                </c:pt>
                <c:pt idx="60">
                  <c:v>104.18561643835608</c:v>
                </c:pt>
                <c:pt idx="61">
                  <c:v>104.18561643835608</c:v>
                </c:pt>
                <c:pt idx="62">
                  <c:v>104.18561643835608</c:v>
                </c:pt>
                <c:pt idx="63">
                  <c:v>104.18561643835608</c:v>
                </c:pt>
                <c:pt idx="64">
                  <c:v>104.18561643835608</c:v>
                </c:pt>
                <c:pt idx="65">
                  <c:v>104.18561643835608</c:v>
                </c:pt>
                <c:pt idx="66">
                  <c:v>104.18561643835608</c:v>
                </c:pt>
                <c:pt idx="67">
                  <c:v>104.18561643835608</c:v>
                </c:pt>
                <c:pt idx="68">
                  <c:v>104.18561643835608</c:v>
                </c:pt>
                <c:pt idx="69">
                  <c:v>104.18561643835608</c:v>
                </c:pt>
                <c:pt idx="70">
                  <c:v>104.18561643835608</c:v>
                </c:pt>
                <c:pt idx="71">
                  <c:v>104.18561643835608</c:v>
                </c:pt>
                <c:pt idx="72">
                  <c:v>104.18561643835608</c:v>
                </c:pt>
                <c:pt idx="73">
                  <c:v>104.18561643835608</c:v>
                </c:pt>
                <c:pt idx="74">
                  <c:v>104.18561643835608</c:v>
                </c:pt>
                <c:pt idx="75">
                  <c:v>104.18561643835608</c:v>
                </c:pt>
                <c:pt idx="76">
                  <c:v>104.18561643835608</c:v>
                </c:pt>
                <c:pt idx="77">
                  <c:v>104.18561643835608</c:v>
                </c:pt>
                <c:pt idx="78">
                  <c:v>104.18561643835608</c:v>
                </c:pt>
                <c:pt idx="79">
                  <c:v>104.18561643835608</c:v>
                </c:pt>
                <c:pt idx="80">
                  <c:v>104.18561643835608</c:v>
                </c:pt>
                <c:pt idx="81">
                  <c:v>104.18561643835608</c:v>
                </c:pt>
                <c:pt idx="82">
                  <c:v>104.18561643835608</c:v>
                </c:pt>
                <c:pt idx="83">
                  <c:v>104.18561643835608</c:v>
                </c:pt>
                <c:pt idx="84">
                  <c:v>104.18561643835608</c:v>
                </c:pt>
                <c:pt idx="85">
                  <c:v>104.18561643835608</c:v>
                </c:pt>
                <c:pt idx="86">
                  <c:v>104.18561643835608</c:v>
                </c:pt>
                <c:pt idx="87">
                  <c:v>104.18561643835608</c:v>
                </c:pt>
                <c:pt idx="88">
                  <c:v>104.18561643835608</c:v>
                </c:pt>
                <c:pt idx="89">
                  <c:v>104.18561643835608</c:v>
                </c:pt>
                <c:pt idx="90">
                  <c:v>104.18561643835608</c:v>
                </c:pt>
                <c:pt idx="91">
                  <c:v>104.18561643835608</c:v>
                </c:pt>
                <c:pt idx="92">
                  <c:v>104.18561643835608</c:v>
                </c:pt>
                <c:pt idx="93">
                  <c:v>104.18561643835608</c:v>
                </c:pt>
                <c:pt idx="94">
                  <c:v>104.18561643835608</c:v>
                </c:pt>
                <c:pt idx="95">
                  <c:v>104.18561643835608</c:v>
                </c:pt>
                <c:pt idx="96">
                  <c:v>104.18561643835608</c:v>
                </c:pt>
                <c:pt idx="97">
                  <c:v>104.18561643835608</c:v>
                </c:pt>
                <c:pt idx="98">
                  <c:v>104.18561643835608</c:v>
                </c:pt>
                <c:pt idx="99">
                  <c:v>104.18561643835608</c:v>
                </c:pt>
                <c:pt idx="100">
                  <c:v>104.18561643835608</c:v>
                </c:pt>
                <c:pt idx="101">
                  <c:v>104.18561643835608</c:v>
                </c:pt>
                <c:pt idx="102">
                  <c:v>104.18561643835608</c:v>
                </c:pt>
                <c:pt idx="103">
                  <c:v>104.18561643835608</c:v>
                </c:pt>
                <c:pt idx="104">
                  <c:v>104.18561643835608</c:v>
                </c:pt>
                <c:pt idx="105">
                  <c:v>104.18561643835608</c:v>
                </c:pt>
                <c:pt idx="106">
                  <c:v>104.18561643835608</c:v>
                </c:pt>
                <c:pt idx="107">
                  <c:v>104.18561643835608</c:v>
                </c:pt>
                <c:pt idx="108">
                  <c:v>104.18561643835608</c:v>
                </c:pt>
                <c:pt idx="109">
                  <c:v>104.18561643835608</c:v>
                </c:pt>
                <c:pt idx="110">
                  <c:v>104.18561643835608</c:v>
                </c:pt>
                <c:pt idx="111">
                  <c:v>104.18561643835608</c:v>
                </c:pt>
                <c:pt idx="112">
                  <c:v>104.18561643835608</c:v>
                </c:pt>
                <c:pt idx="113">
                  <c:v>104.18561643835608</c:v>
                </c:pt>
                <c:pt idx="114">
                  <c:v>104.18561643835608</c:v>
                </c:pt>
                <c:pt idx="115">
                  <c:v>104.18561643835608</c:v>
                </c:pt>
                <c:pt idx="116">
                  <c:v>104.18561643835608</c:v>
                </c:pt>
                <c:pt idx="117">
                  <c:v>104.18561643835608</c:v>
                </c:pt>
                <c:pt idx="118">
                  <c:v>104.18561643835608</c:v>
                </c:pt>
                <c:pt idx="119">
                  <c:v>104.18561643835608</c:v>
                </c:pt>
                <c:pt idx="120">
                  <c:v>104.18561643835608</c:v>
                </c:pt>
                <c:pt idx="121">
                  <c:v>104.18561643835608</c:v>
                </c:pt>
                <c:pt idx="122">
                  <c:v>104.18561643835608</c:v>
                </c:pt>
                <c:pt idx="123">
                  <c:v>104.18561643835608</c:v>
                </c:pt>
                <c:pt idx="124">
                  <c:v>104.18561643835608</c:v>
                </c:pt>
                <c:pt idx="125">
                  <c:v>104.18561643835608</c:v>
                </c:pt>
                <c:pt idx="126">
                  <c:v>104.18561643835608</c:v>
                </c:pt>
                <c:pt idx="127">
                  <c:v>104.18561643835608</c:v>
                </c:pt>
                <c:pt idx="128">
                  <c:v>104.18561643835608</c:v>
                </c:pt>
                <c:pt idx="129">
                  <c:v>104.18561643835608</c:v>
                </c:pt>
                <c:pt idx="130">
                  <c:v>104.18561643835608</c:v>
                </c:pt>
                <c:pt idx="131">
                  <c:v>104.18561643835608</c:v>
                </c:pt>
                <c:pt idx="132">
                  <c:v>104.18561643835608</c:v>
                </c:pt>
                <c:pt idx="133">
                  <c:v>104.18561643835608</c:v>
                </c:pt>
                <c:pt idx="134">
                  <c:v>104.18561643835608</c:v>
                </c:pt>
                <c:pt idx="135">
                  <c:v>104.18561643835608</c:v>
                </c:pt>
                <c:pt idx="136">
                  <c:v>104.18561643835608</c:v>
                </c:pt>
                <c:pt idx="137">
                  <c:v>104.18561643835608</c:v>
                </c:pt>
                <c:pt idx="138">
                  <c:v>104.18561643835608</c:v>
                </c:pt>
                <c:pt idx="139">
                  <c:v>104.18561643835608</c:v>
                </c:pt>
                <c:pt idx="140">
                  <c:v>104.18561643835608</c:v>
                </c:pt>
                <c:pt idx="141">
                  <c:v>104.18561643835608</c:v>
                </c:pt>
                <c:pt idx="142">
                  <c:v>104.18561643835608</c:v>
                </c:pt>
                <c:pt idx="143">
                  <c:v>104.18561643835608</c:v>
                </c:pt>
                <c:pt idx="144">
                  <c:v>104.18561643835608</c:v>
                </c:pt>
                <c:pt idx="145">
                  <c:v>104.18561643835608</c:v>
                </c:pt>
                <c:pt idx="146">
                  <c:v>104.18561643835608</c:v>
                </c:pt>
                <c:pt idx="147">
                  <c:v>104.18561643835608</c:v>
                </c:pt>
                <c:pt idx="148">
                  <c:v>104.18561643835608</c:v>
                </c:pt>
                <c:pt idx="149">
                  <c:v>104.18561643835608</c:v>
                </c:pt>
                <c:pt idx="150">
                  <c:v>104.18561643835608</c:v>
                </c:pt>
                <c:pt idx="151">
                  <c:v>104.18561643835608</c:v>
                </c:pt>
                <c:pt idx="152">
                  <c:v>104.18561643835608</c:v>
                </c:pt>
                <c:pt idx="153">
                  <c:v>104.18561643835608</c:v>
                </c:pt>
                <c:pt idx="154">
                  <c:v>104.18561643835608</c:v>
                </c:pt>
                <c:pt idx="155">
                  <c:v>104.18561643835608</c:v>
                </c:pt>
                <c:pt idx="156">
                  <c:v>104.18561643835608</c:v>
                </c:pt>
                <c:pt idx="157">
                  <c:v>104.18561643835608</c:v>
                </c:pt>
                <c:pt idx="158">
                  <c:v>104.18561643835608</c:v>
                </c:pt>
                <c:pt idx="159">
                  <c:v>104.18561643835608</c:v>
                </c:pt>
                <c:pt idx="160">
                  <c:v>104.18561643835608</c:v>
                </c:pt>
                <c:pt idx="161">
                  <c:v>104.18561643835608</c:v>
                </c:pt>
                <c:pt idx="162">
                  <c:v>104.18561643835608</c:v>
                </c:pt>
                <c:pt idx="163">
                  <c:v>104.18561643835608</c:v>
                </c:pt>
                <c:pt idx="164">
                  <c:v>104.18561643835608</c:v>
                </c:pt>
                <c:pt idx="165">
                  <c:v>104.18561643835608</c:v>
                </c:pt>
                <c:pt idx="166">
                  <c:v>104.18561643835608</c:v>
                </c:pt>
                <c:pt idx="167">
                  <c:v>104.18561643835608</c:v>
                </c:pt>
                <c:pt idx="168">
                  <c:v>104.18561643835608</c:v>
                </c:pt>
                <c:pt idx="169">
                  <c:v>104.18561643835608</c:v>
                </c:pt>
                <c:pt idx="170">
                  <c:v>104.18561643835608</c:v>
                </c:pt>
                <c:pt idx="171">
                  <c:v>104.18561643835608</c:v>
                </c:pt>
                <c:pt idx="172">
                  <c:v>104.18561643835608</c:v>
                </c:pt>
                <c:pt idx="173">
                  <c:v>104.18561643835608</c:v>
                </c:pt>
                <c:pt idx="174">
                  <c:v>104.18561643835608</c:v>
                </c:pt>
                <c:pt idx="175">
                  <c:v>104.18561643835608</c:v>
                </c:pt>
                <c:pt idx="176">
                  <c:v>104.18561643835608</c:v>
                </c:pt>
                <c:pt idx="177">
                  <c:v>104.18561643835608</c:v>
                </c:pt>
                <c:pt idx="178">
                  <c:v>104.18561643835608</c:v>
                </c:pt>
                <c:pt idx="179">
                  <c:v>104.18561643835608</c:v>
                </c:pt>
                <c:pt idx="180">
                  <c:v>104.18561643835608</c:v>
                </c:pt>
                <c:pt idx="181">
                  <c:v>104.18561643835608</c:v>
                </c:pt>
                <c:pt idx="182">
                  <c:v>104.18561643835608</c:v>
                </c:pt>
                <c:pt idx="183">
                  <c:v>104.18561643835608</c:v>
                </c:pt>
                <c:pt idx="184">
                  <c:v>104.18561643835608</c:v>
                </c:pt>
                <c:pt idx="185">
                  <c:v>104.18561643835608</c:v>
                </c:pt>
                <c:pt idx="186">
                  <c:v>104.18561643835608</c:v>
                </c:pt>
                <c:pt idx="187">
                  <c:v>104.18561643835608</c:v>
                </c:pt>
                <c:pt idx="188">
                  <c:v>104.18561643835608</c:v>
                </c:pt>
                <c:pt idx="189">
                  <c:v>104.18561643835608</c:v>
                </c:pt>
                <c:pt idx="190">
                  <c:v>104.18561643835608</c:v>
                </c:pt>
                <c:pt idx="191">
                  <c:v>104.18561643835608</c:v>
                </c:pt>
                <c:pt idx="192">
                  <c:v>104.18561643835608</c:v>
                </c:pt>
                <c:pt idx="193">
                  <c:v>104.18561643835608</c:v>
                </c:pt>
                <c:pt idx="194">
                  <c:v>104.18561643835608</c:v>
                </c:pt>
                <c:pt idx="195">
                  <c:v>104.18561643835608</c:v>
                </c:pt>
                <c:pt idx="196">
                  <c:v>104.18561643835608</c:v>
                </c:pt>
                <c:pt idx="197">
                  <c:v>104.18561643835608</c:v>
                </c:pt>
                <c:pt idx="198">
                  <c:v>104.18561643835608</c:v>
                </c:pt>
                <c:pt idx="199">
                  <c:v>104.18561643835608</c:v>
                </c:pt>
                <c:pt idx="200">
                  <c:v>104.18561643835608</c:v>
                </c:pt>
                <c:pt idx="201">
                  <c:v>104.18561643835608</c:v>
                </c:pt>
                <c:pt idx="202">
                  <c:v>104.18561643835608</c:v>
                </c:pt>
                <c:pt idx="203">
                  <c:v>104.18561643835608</c:v>
                </c:pt>
                <c:pt idx="204">
                  <c:v>104.18561643835608</c:v>
                </c:pt>
                <c:pt idx="205">
                  <c:v>104.18561643835608</c:v>
                </c:pt>
                <c:pt idx="206">
                  <c:v>104.18561643835608</c:v>
                </c:pt>
                <c:pt idx="207">
                  <c:v>104.18561643835608</c:v>
                </c:pt>
                <c:pt idx="208">
                  <c:v>110.77465753424647</c:v>
                </c:pt>
                <c:pt idx="209">
                  <c:v>110.77465753424647</c:v>
                </c:pt>
                <c:pt idx="210">
                  <c:v>110.77465753424647</c:v>
                </c:pt>
                <c:pt idx="211">
                  <c:v>110.77465753424647</c:v>
                </c:pt>
                <c:pt idx="212">
                  <c:v>110.77465753424647</c:v>
                </c:pt>
                <c:pt idx="213">
                  <c:v>110.77465753424647</c:v>
                </c:pt>
                <c:pt idx="214">
                  <c:v>110.77465753424647</c:v>
                </c:pt>
                <c:pt idx="215">
                  <c:v>110.77465753424647</c:v>
                </c:pt>
                <c:pt idx="216">
                  <c:v>110.77465753424647</c:v>
                </c:pt>
                <c:pt idx="217">
                  <c:v>110.77465753424647</c:v>
                </c:pt>
                <c:pt idx="218">
                  <c:v>110.77465753424647</c:v>
                </c:pt>
                <c:pt idx="219">
                  <c:v>123.92602739726016</c:v>
                </c:pt>
                <c:pt idx="220">
                  <c:v>1141.0041095890408</c:v>
                </c:pt>
                <c:pt idx="221">
                  <c:v>2358.6232876712329</c:v>
                </c:pt>
                <c:pt idx="222">
                  <c:v>3891.050684931507</c:v>
                </c:pt>
                <c:pt idx="223">
                  <c:v>7270.9410958904109</c:v>
                </c:pt>
                <c:pt idx="224">
                  <c:v>7270.9410958904109</c:v>
                </c:pt>
                <c:pt idx="225">
                  <c:v>17433.475342465754</c:v>
                </c:pt>
                <c:pt idx="226">
                  <c:v>18252.65890410959</c:v>
                </c:pt>
                <c:pt idx="227">
                  <c:v>22154.519178082192</c:v>
                </c:pt>
                <c:pt idx="228">
                  <c:v>22196.620547945204</c:v>
                </c:pt>
                <c:pt idx="229">
                  <c:v>22196.620547945204</c:v>
                </c:pt>
                <c:pt idx="230">
                  <c:v>22196.620547945204</c:v>
                </c:pt>
                <c:pt idx="231">
                  <c:v>22196.620547945204</c:v>
                </c:pt>
                <c:pt idx="232">
                  <c:v>22196.620547945204</c:v>
                </c:pt>
                <c:pt idx="233">
                  <c:v>22196.620547945204</c:v>
                </c:pt>
                <c:pt idx="234">
                  <c:v>22377.406164383559</c:v>
                </c:pt>
                <c:pt idx="235">
                  <c:v>22377.406164383559</c:v>
                </c:pt>
                <c:pt idx="236">
                  <c:v>22377.406164383559</c:v>
                </c:pt>
                <c:pt idx="237">
                  <c:v>25624.485616438353</c:v>
                </c:pt>
                <c:pt idx="238">
                  <c:v>26068.565068493146</c:v>
                </c:pt>
                <c:pt idx="239">
                  <c:v>26068.565068493146</c:v>
                </c:pt>
                <c:pt idx="240">
                  <c:v>26068.565068493146</c:v>
                </c:pt>
                <c:pt idx="241">
                  <c:v>26629.31849315068</c:v>
                </c:pt>
                <c:pt idx="242">
                  <c:v>33507.603424657529</c:v>
                </c:pt>
                <c:pt idx="243">
                  <c:v>33718.774383561642</c:v>
                </c:pt>
                <c:pt idx="244">
                  <c:v>35192.977123287666</c:v>
                </c:pt>
                <c:pt idx="245">
                  <c:v>35441.027435144591</c:v>
                </c:pt>
                <c:pt idx="246">
                  <c:v>36498.380859802128</c:v>
                </c:pt>
                <c:pt idx="247">
                  <c:v>40226.961681719935</c:v>
                </c:pt>
                <c:pt idx="248">
                  <c:v>40326.742503637746</c:v>
                </c:pt>
                <c:pt idx="249">
                  <c:v>40326.742503637746</c:v>
                </c:pt>
                <c:pt idx="250">
                  <c:v>40681.778120076102</c:v>
                </c:pt>
                <c:pt idx="251">
                  <c:v>40707.972640624044</c:v>
                </c:pt>
                <c:pt idx="252">
                  <c:v>40953.369900898018</c:v>
                </c:pt>
                <c:pt idx="253">
                  <c:v>40953.369900898018</c:v>
                </c:pt>
                <c:pt idx="254">
                  <c:v>41699.495928295277</c:v>
                </c:pt>
                <c:pt idx="255">
                  <c:v>42869.446613226784</c:v>
                </c:pt>
                <c:pt idx="256">
                  <c:v>43069.492549299845</c:v>
                </c:pt>
                <c:pt idx="257">
                  <c:v>44296.010357519022</c:v>
                </c:pt>
                <c:pt idx="258">
                  <c:v>44382.601166180095</c:v>
                </c:pt>
                <c:pt idx="259">
                  <c:v>45249.138152481464</c:v>
                </c:pt>
                <c:pt idx="260">
                  <c:v>45249.138152481464</c:v>
                </c:pt>
                <c:pt idx="261">
                  <c:v>45409.083357960917</c:v>
                </c:pt>
                <c:pt idx="262">
                  <c:v>45409.083357960917</c:v>
                </c:pt>
                <c:pt idx="263">
                  <c:v>47756.088837412972</c:v>
                </c:pt>
                <c:pt idx="264">
                  <c:v>47756.088837412972</c:v>
                </c:pt>
                <c:pt idx="265">
                  <c:v>47756.088837412972</c:v>
                </c:pt>
                <c:pt idx="266">
                  <c:v>47756.088837412972</c:v>
                </c:pt>
                <c:pt idx="267">
                  <c:v>48023.743631933517</c:v>
                </c:pt>
                <c:pt idx="268">
                  <c:v>48940.850481248584</c:v>
                </c:pt>
                <c:pt idx="269">
                  <c:v>49090.573768919814</c:v>
                </c:pt>
                <c:pt idx="270">
                  <c:v>49090.573768919814</c:v>
                </c:pt>
                <c:pt idx="271">
                  <c:v>49220.096665201614</c:v>
                </c:pt>
                <c:pt idx="272">
                  <c:v>49432.195295338599</c:v>
                </c:pt>
                <c:pt idx="273">
                  <c:v>49440.407097235329</c:v>
                </c:pt>
                <c:pt idx="274">
                  <c:v>49440.407097235329</c:v>
                </c:pt>
                <c:pt idx="275">
                  <c:v>49440.407097235329</c:v>
                </c:pt>
                <c:pt idx="276">
                  <c:v>50454.203672577794</c:v>
                </c:pt>
                <c:pt idx="277">
                  <c:v>50454.203672577794</c:v>
                </c:pt>
                <c:pt idx="278">
                  <c:v>50595.374631481907</c:v>
                </c:pt>
                <c:pt idx="279">
                  <c:v>51943.88696024903</c:v>
                </c:pt>
                <c:pt idx="280">
                  <c:v>52015.656823262732</c:v>
                </c:pt>
                <c:pt idx="281">
                  <c:v>52058.433328036495</c:v>
                </c:pt>
                <c:pt idx="282">
                  <c:v>52058.433328036495</c:v>
                </c:pt>
                <c:pt idx="283">
                  <c:v>52104.90031875678</c:v>
                </c:pt>
                <c:pt idx="284">
                  <c:v>52104.90031875678</c:v>
                </c:pt>
                <c:pt idx="285">
                  <c:v>52104.90031875678</c:v>
                </c:pt>
                <c:pt idx="286">
                  <c:v>52119.872921496506</c:v>
                </c:pt>
                <c:pt idx="287">
                  <c:v>52119.872921496506</c:v>
                </c:pt>
                <c:pt idx="288">
                  <c:v>52156.73608740214</c:v>
                </c:pt>
                <c:pt idx="289">
                  <c:v>52156.73608740214</c:v>
                </c:pt>
                <c:pt idx="290">
                  <c:v>56173.092251785703</c:v>
                </c:pt>
                <c:pt idx="291">
                  <c:v>56173.092251785703</c:v>
                </c:pt>
                <c:pt idx="292">
                  <c:v>56173.092251785703</c:v>
                </c:pt>
                <c:pt idx="293">
                  <c:v>56173.092251785703</c:v>
                </c:pt>
                <c:pt idx="294">
                  <c:v>56173.092251785703</c:v>
                </c:pt>
                <c:pt idx="295">
                  <c:v>61798.711429867893</c:v>
                </c:pt>
                <c:pt idx="296">
                  <c:v>62556.382662744603</c:v>
                </c:pt>
                <c:pt idx="297">
                  <c:v>67253.993621648711</c:v>
                </c:pt>
                <c:pt idx="298">
                  <c:v>67253.993621648711</c:v>
                </c:pt>
                <c:pt idx="299">
                  <c:v>67335.195676443225</c:v>
                </c:pt>
                <c:pt idx="300">
                  <c:v>67379.028553155556</c:v>
                </c:pt>
                <c:pt idx="301">
                  <c:v>67393.255929011721</c:v>
                </c:pt>
                <c:pt idx="302">
                  <c:v>69530.176476956927</c:v>
                </c:pt>
                <c:pt idx="303">
                  <c:v>69760.759566234206</c:v>
                </c:pt>
                <c:pt idx="304">
                  <c:v>72813.219840206802</c:v>
                </c:pt>
                <c:pt idx="305">
                  <c:v>72813.219840206802</c:v>
                </c:pt>
                <c:pt idx="306">
                  <c:v>72813.219840206802</c:v>
                </c:pt>
                <c:pt idx="307">
                  <c:v>74050.217100480775</c:v>
                </c:pt>
              </c:numCache>
            </c:numRef>
          </c:val>
          <c:extLst>
            <c:ext xmlns:c16="http://schemas.microsoft.com/office/drawing/2014/chart" uri="{C3380CC4-5D6E-409C-BE32-E72D297353CC}">
              <c16:uniqueId val="{00000001-6656-4C7A-9E43-D732B67527D5}"/>
            </c:ext>
          </c:extLst>
        </c:ser>
        <c:dLbls>
          <c:showLegendKey val="0"/>
          <c:showVal val="0"/>
          <c:showCatName val="0"/>
          <c:showSerName val="0"/>
          <c:showPercent val="0"/>
          <c:showBubbleSize val="0"/>
        </c:dLbls>
        <c:axId val="850266032"/>
        <c:axId val="850271936"/>
      </c:areaChart>
      <c:lineChart>
        <c:grouping val="standard"/>
        <c:varyColors val="0"/>
        <c:ser>
          <c:idx val="2"/>
          <c:order val="0"/>
          <c:tx>
            <c:v>Transfer Stations</c:v>
          </c:tx>
          <c:spPr>
            <a:ln w="19050" cap="rnd">
              <a:solidFill>
                <a:schemeClr val="accent3"/>
              </a:solidFill>
              <a:round/>
            </a:ln>
            <a:effectLst/>
          </c:spPr>
          <c:marker>
            <c:symbol val="none"/>
          </c:marker>
          <c:cat>
            <c:numRef>
              <c:f>'Compiled Figure Data'!$C$2:$C$200</c:f>
              <c:numCache>
                <c:formatCode>0</c:formatCode>
                <c:ptCount val="199"/>
                <c:pt idx="0">
                  <c:v>0</c:v>
                </c:pt>
                <c:pt idx="1">
                  <c:v>1.4046310779005711</c:v>
                </c:pt>
                <c:pt idx="2">
                  <c:v>2.4702556784183272</c:v>
                </c:pt>
                <c:pt idx="3">
                  <c:v>2.68069823117616</c:v>
                </c:pt>
                <c:pt idx="4">
                  <c:v>2.7527748833496348</c:v>
                </c:pt>
                <c:pt idx="5">
                  <c:v>3.4327601232069744</c:v>
                </c:pt>
                <c:pt idx="6">
                  <c:v>6.0908663601126891</c:v>
                </c:pt>
                <c:pt idx="7">
                  <c:v>6.1498864349122666</c:v>
                </c:pt>
                <c:pt idx="8">
                  <c:v>7.5443422011709549</c:v>
                </c:pt>
                <c:pt idx="9">
                  <c:v>8.0346310480680998</c:v>
                </c:pt>
                <c:pt idx="10">
                  <c:v>8.6610870541652041</c:v>
                </c:pt>
                <c:pt idx="11">
                  <c:v>8.9713608919098533</c:v>
                </c:pt>
                <c:pt idx="12">
                  <c:v>9.3027651670087241</c:v>
                </c:pt>
                <c:pt idx="13">
                  <c:v>9.6609850578107395</c:v>
                </c:pt>
                <c:pt idx="14">
                  <c:v>10.173954496716529</c:v>
                </c:pt>
                <c:pt idx="15">
                  <c:v>10.951698134049566</c:v>
                </c:pt>
                <c:pt idx="16">
                  <c:v>11.006656074976426</c:v>
                </c:pt>
                <c:pt idx="17">
                  <c:v>11.998331731412774</c:v>
                </c:pt>
                <c:pt idx="18">
                  <c:v>12.080447126501223</c:v>
                </c:pt>
                <c:pt idx="19">
                  <c:v>12.250782125004831</c:v>
                </c:pt>
                <c:pt idx="20">
                  <c:v>12.386703578087259</c:v>
                </c:pt>
                <c:pt idx="21">
                  <c:v>12.924933706589929</c:v>
                </c:pt>
                <c:pt idx="22">
                  <c:v>13.271840315292051</c:v>
                </c:pt>
                <c:pt idx="23">
                  <c:v>13.972805534408666</c:v>
                </c:pt>
                <c:pt idx="24">
                  <c:v>14.037777148756684</c:v>
                </c:pt>
                <c:pt idx="25">
                  <c:v>14.426763063259877</c:v>
                </c:pt>
                <c:pt idx="26">
                  <c:v>14.815069824975689</c:v>
                </c:pt>
                <c:pt idx="27">
                  <c:v>14.886271723168052</c:v>
                </c:pt>
                <c:pt idx="28">
                  <c:v>15.095434009849177</c:v>
                </c:pt>
                <c:pt idx="29">
                  <c:v>15.120536530618882</c:v>
                </c:pt>
                <c:pt idx="30">
                  <c:v>15.22739464830966</c:v>
                </c:pt>
                <c:pt idx="31">
                  <c:v>16.183960221863188</c:v>
                </c:pt>
                <c:pt idx="32">
                  <c:v>16.424658345063282</c:v>
                </c:pt>
                <c:pt idx="33">
                  <c:v>16.433818894768969</c:v>
                </c:pt>
                <c:pt idx="34">
                  <c:v>16.800713325318732</c:v>
                </c:pt>
                <c:pt idx="35">
                  <c:v>16.990834500929321</c:v>
                </c:pt>
                <c:pt idx="36">
                  <c:v>17.714212794932315</c:v>
                </c:pt>
                <c:pt idx="37">
                  <c:v>17.742753823722307</c:v>
                </c:pt>
                <c:pt idx="38">
                  <c:v>17.938370310908695</c:v>
                </c:pt>
                <c:pt idx="39">
                  <c:v>17.993739908640254</c:v>
                </c:pt>
                <c:pt idx="40">
                  <c:v>18.6516633430792</c:v>
                </c:pt>
                <c:pt idx="41">
                  <c:v>18.760289788414092</c:v>
                </c:pt>
                <c:pt idx="42">
                  <c:v>18.85115252111413</c:v>
                </c:pt>
                <c:pt idx="43">
                  <c:v>19.570575990424445</c:v>
                </c:pt>
                <c:pt idx="44">
                  <c:v>19.665259051100929</c:v>
                </c:pt>
                <c:pt idx="45">
                  <c:v>19.989305605374682</c:v>
                </c:pt>
                <c:pt idx="46">
                  <c:v>20.37339895146928</c:v>
                </c:pt>
                <c:pt idx="47">
                  <c:v>20.561160555831567</c:v>
                </c:pt>
                <c:pt idx="48">
                  <c:v>20.800369040204021</c:v>
                </c:pt>
                <c:pt idx="49">
                  <c:v>20.831523592590994</c:v>
                </c:pt>
                <c:pt idx="50">
                  <c:v>20.921825514692063</c:v>
                </c:pt>
                <c:pt idx="51">
                  <c:v>21.077841679990687</c:v>
                </c:pt>
                <c:pt idx="52">
                  <c:v>21.089378686935177</c:v>
                </c:pt>
                <c:pt idx="53">
                  <c:v>21.266399300188986</c:v>
                </c:pt>
                <c:pt idx="54">
                  <c:v>21.321325545521283</c:v>
                </c:pt>
                <c:pt idx="55">
                  <c:v>21.562970996431705</c:v>
                </c:pt>
                <c:pt idx="56">
                  <c:v>22.007815038292513</c:v>
                </c:pt>
                <c:pt idx="57">
                  <c:v>22.61054086929289</c:v>
                </c:pt>
                <c:pt idx="58">
                  <c:v>22.964959855656378</c:v>
                </c:pt>
                <c:pt idx="59">
                  <c:v>23.181681342989201</c:v>
                </c:pt>
                <c:pt idx="60">
                  <c:v>23.27261805806776</c:v>
                </c:pt>
                <c:pt idx="61">
                  <c:v>23.361862289289302</c:v>
                </c:pt>
                <c:pt idx="62">
                  <c:v>23.424501258482294</c:v>
                </c:pt>
                <c:pt idx="63">
                  <c:v>25.214850768985311</c:v>
                </c:pt>
                <c:pt idx="64">
                  <c:v>25.51251923137821</c:v>
                </c:pt>
                <c:pt idx="65">
                  <c:v>25.820933578130379</c:v>
                </c:pt>
                <c:pt idx="66">
                  <c:v>25.914926992119298</c:v>
                </c:pt>
                <c:pt idx="67">
                  <c:v>25.942997509440051</c:v>
                </c:pt>
                <c:pt idx="68">
                  <c:v>25.98753496478988</c:v>
                </c:pt>
                <c:pt idx="69">
                  <c:v>26.112900290432218</c:v>
                </c:pt>
                <c:pt idx="70">
                  <c:v>26.449557488016872</c:v>
                </c:pt>
                <c:pt idx="71">
                  <c:v>26.77457150901742</c:v>
                </c:pt>
                <c:pt idx="72">
                  <c:v>26.802119627783849</c:v>
                </c:pt>
                <c:pt idx="73">
                  <c:v>27.159989088644799</c:v>
                </c:pt>
                <c:pt idx="74">
                  <c:v>27.318491989314897</c:v>
                </c:pt>
                <c:pt idx="75">
                  <c:v>27.325953227814399</c:v>
                </c:pt>
                <c:pt idx="76">
                  <c:v>27.394971727163004</c:v>
                </c:pt>
                <c:pt idx="77">
                  <c:v>27.499381793883813</c:v>
                </c:pt>
                <c:pt idx="78">
                  <c:v>27.704396749478885</c:v>
                </c:pt>
                <c:pt idx="79">
                  <c:v>27.889536495691605</c:v>
                </c:pt>
                <c:pt idx="80">
                  <c:v>28.539800624149532</c:v>
                </c:pt>
                <c:pt idx="81">
                  <c:v>28.543150840720447</c:v>
                </c:pt>
                <c:pt idx="82">
                  <c:v>28.918892171853191</c:v>
                </c:pt>
                <c:pt idx="83">
                  <c:v>29.200681819266389</c:v>
                </c:pt>
                <c:pt idx="84">
                  <c:v>29.227309058358237</c:v>
                </c:pt>
                <c:pt idx="85">
                  <c:v>29.29043773526719</c:v>
                </c:pt>
                <c:pt idx="86">
                  <c:v>29.296685928366401</c:v>
                </c:pt>
                <c:pt idx="87">
                  <c:v>29.32177908941696</c:v>
                </c:pt>
                <c:pt idx="88">
                  <c:v>29.43861128409176</c:v>
                </c:pt>
                <c:pt idx="89">
                  <c:v>29.655613809548683</c:v>
                </c:pt>
                <c:pt idx="90">
                  <c:v>29.851901657471959</c:v>
                </c:pt>
                <c:pt idx="91">
                  <c:v>30.181150857930177</c:v>
                </c:pt>
                <c:pt idx="92">
                  <c:v>30.21516263502264</c:v>
                </c:pt>
                <c:pt idx="93">
                  <c:v>30.68746973428841</c:v>
                </c:pt>
                <c:pt idx="94">
                  <c:v>30.802577306258083</c:v>
                </c:pt>
                <c:pt idx="95">
                  <c:v>31.134205123910107</c:v>
                </c:pt>
                <c:pt idx="96">
                  <c:v>31.183750979366685</c:v>
                </c:pt>
                <c:pt idx="97">
                  <c:v>31.622110588293662</c:v>
                </c:pt>
                <c:pt idx="98">
                  <c:v>31.64680404496379</c:v>
                </c:pt>
                <c:pt idx="99">
                  <c:v>31.706651981357162</c:v>
                </c:pt>
                <c:pt idx="100">
                  <c:v>31.816391623208716</c:v>
                </c:pt>
                <c:pt idx="101">
                  <c:v>32.027266881965978</c:v>
                </c:pt>
                <c:pt idx="102">
                  <c:v>32.047496892226583</c:v>
                </c:pt>
                <c:pt idx="103">
                  <c:v>32.180751822299257</c:v>
                </c:pt>
                <c:pt idx="104">
                  <c:v>32.187906496467718</c:v>
                </c:pt>
                <c:pt idx="105">
                  <c:v>32.212322262915123</c:v>
                </c:pt>
                <c:pt idx="106">
                  <c:v>32.346825722501393</c:v>
                </c:pt>
                <c:pt idx="107">
                  <c:v>32.36421533087087</c:v>
                </c:pt>
                <c:pt idx="108">
                  <c:v>32.375638019742745</c:v>
                </c:pt>
                <c:pt idx="109">
                  <c:v>32.666793095832141</c:v>
                </c:pt>
                <c:pt idx="110">
                  <c:v>32.666793095832141</c:v>
                </c:pt>
                <c:pt idx="111">
                  <c:v>32.786753624317441</c:v>
                </c:pt>
                <c:pt idx="112">
                  <c:v>32.831360717747344</c:v>
                </c:pt>
                <c:pt idx="113">
                  <c:v>33.194167991264663</c:v>
                </c:pt>
                <c:pt idx="114">
                  <c:v>33.761570545456038</c:v>
                </c:pt>
                <c:pt idx="115">
                  <c:v>33.905386014866622</c:v>
                </c:pt>
                <c:pt idx="116">
                  <c:v>33.967800457105398</c:v>
                </c:pt>
                <c:pt idx="117">
                  <c:v>34.248844774383699</c:v>
                </c:pt>
                <c:pt idx="118">
                  <c:v>34.470783119689656</c:v>
                </c:pt>
                <c:pt idx="119">
                  <c:v>34.546730678977816</c:v>
                </c:pt>
                <c:pt idx="120">
                  <c:v>34.886956431299105</c:v>
                </c:pt>
                <c:pt idx="121">
                  <c:v>34.922695631195474</c:v>
                </c:pt>
                <c:pt idx="122">
                  <c:v>35.14421278818957</c:v>
                </c:pt>
                <c:pt idx="123">
                  <c:v>35.19168381632214</c:v>
                </c:pt>
                <c:pt idx="124">
                  <c:v>35.638579294599346</c:v>
                </c:pt>
                <c:pt idx="125">
                  <c:v>35.973792500663549</c:v>
                </c:pt>
                <c:pt idx="126">
                  <c:v>36.12557922189643</c:v>
                </c:pt>
                <c:pt idx="127">
                  <c:v>36.351449149296826</c:v>
                </c:pt>
                <c:pt idx="128">
                  <c:v>36.598230258520587</c:v>
                </c:pt>
                <c:pt idx="129">
                  <c:v>37.044906729637937</c:v>
                </c:pt>
                <c:pt idx="130">
                  <c:v>37.090692978899554</c:v>
                </c:pt>
                <c:pt idx="131">
                  <c:v>37.260491091965157</c:v>
                </c:pt>
                <c:pt idx="132">
                  <c:v>37.312892579717634</c:v>
                </c:pt>
                <c:pt idx="133">
                  <c:v>37.536393880274389</c:v>
                </c:pt>
                <c:pt idx="134">
                  <c:v>37.684700886248507</c:v>
                </c:pt>
                <c:pt idx="135">
                  <c:v>37.730547747059695</c:v>
                </c:pt>
                <c:pt idx="136">
                  <c:v>37.873448339372331</c:v>
                </c:pt>
                <c:pt idx="137">
                  <c:v>37.896576954446125</c:v>
                </c:pt>
                <c:pt idx="138">
                  <c:v>38.24632113172062</c:v>
                </c:pt>
                <c:pt idx="139">
                  <c:v>38.47572975662812</c:v>
                </c:pt>
                <c:pt idx="140">
                  <c:v>38.560305645844693</c:v>
                </c:pt>
                <c:pt idx="141">
                  <c:v>38.88192382330417</c:v>
                </c:pt>
                <c:pt idx="142">
                  <c:v>38.963083857856425</c:v>
                </c:pt>
                <c:pt idx="143">
                  <c:v>39.100150996875804</c:v>
                </c:pt>
                <c:pt idx="144">
                  <c:v>39.180630786994605</c:v>
                </c:pt>
                <c:pt idx="145">
                  <c:v>39.227990592280371</c:v>
                </c:pt>
                <c:pt idx="146">
                  <c:v>39.331976566599664</c:v>
                </c:pt>
                <c:pt idx="147">
                  <c:v>39.688823898471959</c:v>
                </c:pt>
                <c:pt idx="148">
                  <c:v>39.806965604846638</c:v>
                </c:pt>
                <c:pt idx="149">
                  <c:v>39.859368929621013</c:v>
                </c:pt>
                <c:pt idx="150">
                  <c:v>40.024693803514232</c:v>
                </c:pt>
                <c:pt idx="151">
                  <c:v>40.135154668839377</c:v>
                </c:pt>
                <c:pt idx="152">
                  <c:v>40.273763091758454</c:v>
                </c:pt>
                <c:pt idx="153">
                  <c:v>40.453872392056383</c:v>
                </c:pt>
                <c:pt idx="154">
                  <c:v>40.585342831100974</c:v>
                </c:pt>
                <c:pt idx="155">
                  <c:v>40.636204035144679</c:v>
                </c:pt>
                <c:pt idx="156">
                  <c:v>40.786090672150053</c:v>
                </c:pt>
                <c:pt idx="157">
                  <c:v>41.011109980748714</c:v>
                </c:pt>
                <c:pt idx="158">
                  <c:v>41.130376289444904</c:v>
                </c:pt>
                <c:pt idx="159">
                  <c:v>41.149288697101063</c:v>
                </c:pt>
                <c:pt idx="160">
                  <c:v>41.384750539784271</c:v>
                </c:pt>
                <c:pt idx="161">
                  <c:v>41.880963471224163</c:v>
                </c:pt>
                <c:pt idx="162">
                  <c:v>42.174549764529743</c:v>
                </c:pt>
                <c:pt idx="163">
                  <c:v>42.361712299562051</c:v>
                </c:pt>
                <c:pt idx="164">
                  <c:v>42.372178472429432</c:v>
                </c:pt>
                <c:pt idx="165">
                  <c:v>42.435506098397454</c:v>
                </c:pt>
                <c:pt idx="166">
                  <c:v>43.010684860244432</c:v>
                </c:pt>
                <c:pt idx="167">
                  <c:v>43.310129386309264</c:v>
                </c:pt>
                <c:pt idx="168">
                  <c:v>43.398046375737316</c:v>
                </c:pt>
                <c:pt idx="169">
                  <c:v>43.616122596157091</c:v>
                </c:pt>
                <c:pt idx="170">
                  <c:v>43.68287379027916</c:v>
                </c:pt>
                <c:pt idx="171">
                  <c:v>43.686811543092055</c:v>
                </c:pt>
                <c:pt idx="172">
                  <c:v>43.787750066709229</c:v>
                </c:pt>
                <c:pt idx="173">
                  <c:v>43.93938193465867</c:v>
                </c:pt>
                <c:pt idx="174">
                  <c:v>44.262852724302661</c:v>
                </c:pt>
                <c:pt idx="175">
                  <c:v>44.264933972954999</c:v>
                </c:pt>
                <c:pt idx="176">
                  <c:v>44.707715597375476</c:v>
                </c:pt>
                <c:pt idx="177">
                  <c:v>45.225358712753895</c:v>
                </c:pt>
                <c:pt idx="178">
                  <c:v>45.431606780021426</c:v>
                </c:pt>
                <c:pt idx="179">
                  <c:v>45.694015907157628</c:v>
                </c:pt>
                <c:pt idx="180">
                  <c:v>45.981774838685958</c:v>
                </c:pt>
                <c:pt idx="181">
                  <c:v>46.027092429831576</c:v>
                </c:pt>
                <c:pt idx="182">
                  <c:v>46.034794093514229</c:v>
                </c:pt>
                <c:pt idx="183">
                  <c:v>46.116868342573959</c:v>
                </c:pt>
                <c:pt idx="184">
                  <c:v>46.668641228325932</c:v>
                </c:pt>
                <c:pt idx="185">
                  <c:v>46.911299323462437</c:v>
                </c:pt>
                <c:pt idx="186">
                  <c:v>46.91574298836403</c:v>
                </c:pt>
                <c:pt idx="187">
                  <c:v>47.260884660032424</c:v>
                </c:pt>
                <c:pt idx="188">
                  <c:v>47.308250046430445</c:v>
                </c:pt>
                <c:pt idx="189">
                  <c:v>47.317104921510953</c:v>
                </c:pt>
                <c:pt idx="190">
                  <c:v>47.44376388056132</c:v>
                </c:pt>
                <c:pt idx="191">
                  <c:v>47.538944583173652</c:v>
                </c:pt>
                <c:pt idx="192">
                  <c:v>47.969525150943426</c:v>
                </c:pt>
                <c:pt idx="193">
                  <c:v>48.909502026054639</c:v>
                </c:pt>
                <c:pt idx="194">
                  <c:v>48.95975767779602</c:v>
                </c:pt>
                <c:pt idx="195">
                  <c:v>49.372470912723109</c:v>
                </c:pt>
                <c:pt idx="196">
                  <c:v>49.378081296668533</c:v>
                </c:pt>
                <c:pt idx="197">
                  <c:v>49.46966968039186</c:v>
                </c:pt>
                <c:pt idx="198">
                  <c:v>49.536432468394175</c:v>
                </c:pt>
              </c:numCache>
            </c:numRef>
          </c:cat>
          <c:val>
            <c:numRef>
              <c:f>'Compiled Figure Data'!$I$2:$I$201</c:f>
              <c:numCache>
                <c:formatCode>0</c:formatCode>
                <c:ptCount val="200"/>
                <c:pt idx="0" formatCode="General">
                  <c:v>0</c:v>
                </c:pt>
                <c:pt idx="1">
                  <c:v>0</c:v>
                </c:pt>
                <c:pt idx="2">
                  <c:v>8.6624999999999943</c:v>
                </c:pt>
                <c:pt idx="3">
                  <c:v>17.324999999999989</c:v>
                </c:pt>
                <c:pt idx="4">
                  <c:v>25.987499999999983</c:v>
                </c:pt>
                <c:pt idx="5">
                  <c:v>34.649999999999977</c:v>
                </c:pt>
                <c:pt idx="6">
                  <c:v>34.649999999999977</c:v>
                </c:pt>
                <c:pt idx="7">
                  <c:v>43.312499999999972</c:v>
                </c:pt>
                <c:pt idx="8">
                  <c:v>51.974999999999966</c:v>
                </c:pt>
                <c:pt idx="9">
                  <c:v>60.63749999999996</c:v>
                </c:pt>
                <c:pt idx="10">
                  <c:v>69.299999999999955</c:v>
                </c:pt>
                <c:pt idx="11">
                  <c:v>77.962499999999949</c:v>
                </c:pt>
                <c:pt idx="12">
                  <c:v>86.624999999999943</c:v>
                </c:pt>
                <c:pt idx="13">
                  <c:v>95.287499999999937</c:v>
                </c:pt>
                <c:pt idx="14">
                  <c:v>103.94999999999993</c:v>
                </c:pt>
                <c:pt idx="15">
                  <c:v>112.61249999999993</c:v>
                </c:pt>
                <c:pt idx="16">
                  <c:v>121.27499999999992</c:v>
                </c:pt>
                <c:pt idx="17">
                  <c:v>129.93749999999991</c:v>
                </c:pt>
                <c:pt idx="18">
                  <c:v>138.59999999999991</c:v>
                </c:pt>
                <c:pt idx="19">
                  <c:v>147.2624999999999</c:v>
                </c:pt>
                <c:pt idx="20">
                  <c:v>155.9249999999999</c:v>
                </c:pt>
                <c:pt idx="21">
                  <c:v>164.58749999999989</c:v>
                </c:pt>
                <c:pt idx="22">
                  <c:v>173.24999999999989</c:v>
                </c:pt>
                <c:pt idx="23">
                  <c:v>181.91249999999988</c:v>
                </c:pt>
                <c:pt idx="24">
                  <c:v>190.57499999999987</c:v>
                </c:pt>
                <c:pt idx="25">
                  <c:v>190.57499999999987</c:v>
                </c:pt>
                <c:pt idx="26">
                  <c:v>199.23749999999987</c:v>
                </c:pt>
                <c:pt idx="27">
                  <c:v>207.89999999999986</c:v>
                </c:pt>
                <c:pt idx="28">
                  <c:v>216.56249999999986</c:v>
                </c:pt>
                <c:pt idx="29">
                  <c:v>225.22499999999985</c:v>
                </c:pt>
                <c:pt idx="30">
                  <c:v>233.88749999999985</c:v>
                </c:pt>
                <c:pt idx="31">
                  <c:v>242.54999999999984</c:v>
                </c:pt>
                <c:pt idx="32">
                  <c:v>251.21249999999984</c:v>
                </c:pt>
                <c:pt idx="33">
                  <c:v>259.87499999999983</c:v>
                </c:pt>
                <c:pt idx="34">
                  <c:v>268.5374999999998</c:v>
                </c:pt>
                <c:pt idx="35">
                  <c:v>277.19999999999982</c:v>
                </c:pt>
                <c:pt idx="36">
                  <c:v>285.86249999999984</c:v>
                </c:pt>
                <c:pt idx="37">
                  <c:v>294.52499999999986</c:v>
                </c:pt>
                <c:pt idx="38">
                  <c:v>303.18749999999989</c:v>
                </c:pt>
                <c:pt idx="39">
                  <c:v>311.84999999999991</c:v>
                </c:pt>
                <c:pt idx="40">
                  <c:v>320.51249999999993</c:v>
                </c:pt>
                <c:pt idx="41">
                  <c:v>329.17499999999995</c:v>
                </c:pt>
                <c:pt idx="42">
                  <c:v>337.83749999999998</c:v>
                </c:pt>
                <c:pt idx="43">
                  <c:v>346.5</c:v>
                </c:pt>
                <c:pt idx="44">
                  <c:v>355.16250000000002</c:v>
                </c:pt>
                <c:pt idx="45">
                  <c:v>363.82500000000005</c:v>
                </c:pt>
                <c:pt idx="46">
                  <c:v>372.48750000000007</c:v>
                </c:pt>
                <c:pt idx="47">
                  <c:v>381.15000000000009</c:v>
                </c:pt>
                <c:pt idx="48">
                  <c:v>389.81250000000011</c:v>
                </c:pt>
                <c:pt idx="49">
                  <c:v>398.47500000000014</c:v>
                </c:pt>
                <c:pt idx="50">
                  <c:v>407.13750000000016</c:v>
                </c:pt>
                <c:pt idx="51">
                  <c:v>415.80000000000018</c:v>
                </c:pt>
                <c:pt idx="52">
                  <c:v>424.4625000000002</c:v>
                </c:pt>
                <c:pt idx="53">
                  <c:v>433.12500000000023</c:v>
                </c:pt>
                <c:pt idx="54">
                  <c:v>441.78750000000025</c:v>
                </c:pt>
                <c:pt idx="55">
                  <c:v>450.45000000000027</c:v>
                </c:pt>
                <c:pt idx="56">
                  <c:v>459.1125000000003</c:v>
                </c:pt>
                <c:pt idx="57">
                  <c:v>467.77500000000032</c:v>
                </c:pt>
                <c:pt idx="58">
                  <c:v>476.43750000000034</c:v>
                </c:pt>
                <c:pt idx="59">
                  <c:v>485.10000000000036</c:v>
                </c:pt>
                <c:pt idx="60">
                  <c:v>493.76250000000039</c:v>
                </c:pt>
                <c:pt idx="61">
                  <c:v>493.76250000000039</c:v>
                </c:pt>
                <c:pt idx="62">
                  <c:v>502.42500000000041</c:v>
                </c:pt>
                <c:pt idx="63">
                  <c:v>511.08750000000043</c:v>
                </c:pt>
                <c:pt idx="64">
                  <c:v>519.75000000000045</c:v>
                </c:pt>
                <c:pt idx="65">
                  <c:v>528.41250000000048</c:v>
                </c:pt>
                <c:pt idx="66">
                  <c:v>537.0750000000005</c:v>
                </c:pt>
                <c:pt idx="67">
                  <c:v>545.73750000000052</c:v>
                </c:pt>
                <c:pt idx="68">
                  <c:v>554.40000000000055</c:v>
                </c:pt>
                <c:pt idx="69">
                  <c:v>563.06250000000057</c:v>
                </c:pt>
                <c:pt idx="70">
                  <c:v>571.72500000000059</c:v>
                </c:pt>
                <c:pt idx="71">
                  <c:v>580.38750000000061</c:v>
                </c:pt>
                <c:pt idx="72">
                  <c:v>589.05000000000064</c:v>
                </c:pt>
                <c:pt idx="73">
                  <c:v>597.71250000000066</c:v>
                </c:pt>
                <c:pt idx="74">
                  <c:v>606.37500000000068</c:v>
                </c:pt>
                <c:pt idx="75">
                  <c:v>615.0375000000007</c:v>
                </c:pt>
                <c:pt idx="76">
                  <c:v>623.70000000000073</c:v>
                </c:pt>
                <c:pt idx="77">
                  <c:v>632.36250000000075</c:v>
                </c:pt>
                <c:pt idx="78">
                  <c:v>641.02500000000077</c:v>
                </c:pt>
                <c:pt idx="79">
                  <c:v>649.6875000000008</c:v>
                </c:pt>
                <c:pt idx="80">
                  <c:v>658.35000000000082</c:v>
                </c:pt>
                <c:pt idx="81">
                  <c:v>667.01250000000084</c:v>
                </c:pt>
                <c:pt idx="82">
                  <c:v>675.67500000000086</c:v>
                </c:pt>
                <c:pt idx="83">
                  <c:v>684.33750000000089</c:v>
                </c:pt>
                <c:pt idx="84">
                  <c:v>693.00000000000091</c:v>
                </c:pt>
                <c:pt idx="85">
                  <c:v>701.66250000000093</c:v>
                </c:pt>
                <c:pt idx="86">
                  <c:v>710.32500000000095</c:v>
                </c:pt>
                <c:pt idx="87">
                  <c:v>718.98750000000098</c:v>
                </c:pt>
                <c:pt idx="88">
                  <c:v>727.650000000001</c:v>
                </c:pt>
                <c:pt idx="89">
                  <c:v>736.31250000000102</c:v>
                </c:pt>
                <c:pt idx="90">
                  <c:v>744.97500000000105</c:v>
                </c:pt>
                <c:pt idx="91">
                  <c:v>753.63750000000107</c:v>
                </c:pt>
                <c:pt idx="92">
                  <c:v>762.30000000000109</c:v>
                </c:pt>
                <c:pt idx="93">
                  <c:v>770.96250000000111</c:v>
                </c:pt>
                <c:pt idx="94">
                  <c:v>779.62500000000114</c:v>
                </c:pt>
                <c:pt idx="95">
                  <c:v>788.28750000000116</c:v>
                </c:pt>
                <c:pt idx="96">
                  <c:v>796.95000000000118</c:v>
                </c:pt>
                <c:pt idx="97">
                  <c:v>805.61250000000121</c:v>
                </c:pt>
                <c:pt idx="98">
                  <c:v>814.27500000000123</c:v>
                </c:pt>
                <c:pt idx="99">
                  <c:v>822.93750000000125</c:v>
                </c:pt>
                <c:pt idx="100">
                  <c:v>831.60000000000127</c:v>
                </c:pt>
                <c:pt idx="101">
                  <c:v>840.2625000000013</c:v>
                </c:pt>
                <c:pt idx="102">
                  <c:v>848.92500000000132</c:v>
                </c:pt>
                <c:pt idx="103">
                  <c:v>857.58750000000134</c:v>
                </c:pt>
                <c:pt idx="104">
                  <c:v>866.25000000000136</c:v>
                </c:pt>
                <c:pt idx="105">
                  <c:v>874.91250000000139</c:v>
                </c:pt>
                <c:pt idx="106">
                  <c:v>883.57500000000141</c:v>
                </c:pt>
                <c:pt idx="107">
                  <c:v>892.23750000000143</c:v>
                </c:pt>
                <c:pt idx="108">
                  <c:v>900.90000000000146</c:v>
                </c:pt>
                <c:pt idx="109">
                  <c:v>909.56250000000148</c:v>
                </c:pt>
                <c:pt idx="110">
                  <c:v>918.2250000000015</c:v>
                </c:pt>
                <c:pt idx="111">
                  <c:v>926.88750000000152</c:v>
                </c:pt>
                <c:pt idx="112">
                  <c:v>935.55000000000155</c:v>
                </c:pt>
                <c:pt idx="113">
                  <c:v>944.21250000000157</c:v>
                </c:pt>
                <c:pt idx="114">
                  <c:v>952.87500000000159</c:v>
                </c:pt>
                <c:pt idx="115">
                  <c:v>961.53750000000161</c:v>
                </c:pt>
                <c:pt idx="116">
                  <c:v>970.20000000000164</c:v>
                </c:pt>
                <c:pt idx="117">
                  <c:v>978.86250000000166</c:v>
                </c:pt>
                <c:pt idx="118">
                  <c:v>987.52500000000168</c:v>
                </c:pt>
                <c:pt idx="119">
                  <c:v>996.18750000000171</c:v>
                </c:pt>
                <c:pt idx="120">
                  <c:v>1004.8500000000017</c:v>
                </c:pt>
                <c:pt idx="121">
                  <c:v>1013.5125000000018</c:v>
                </c:pt>
                <c:pt idx="122">
                  <c:v>1022.1750000000018</c:v>
                </c:pt>
                <c:pt idx="123">
                  <c:v>1022.1750000000018</c:v>
                </c:pt>
                <c:pt idx="124">
                  <c:v>1030.8375000000017</c:v>
                </c:pt>
                <c:pt idx="125">
                  <c:v>1039.5000000000016</c:v>
                </c:pt>
                <c:pt idx="126">
                  <c:v>1048.1625000000015</c:v>
                </c:pt>
                <c:pt idx="127">
                  <c:v>1056.8250000000014</c:v>
                </c:pt>
                <c:pt idx="128">
                  <c:v>1065.4875000000013</c:v>
                </c:pt>
                <c:pt idx="129">
                  <c:v>1065.4875000000013</c:v>
                </c:pt>
                <c:pt idx="130">
                  <c:v>1074.1500000000012</c:v>
                </c:pt>
                <c:pt idx="131">
                  <c:v>1082.8125000000011</c:v>
                </c:pt>
                <c:pt idx="132">
                  <c:v>1091.475000000001</c:v>
                </c:pt>
                <c:pt idx="133">
                  <c:v>1100.137500000001</c:v>
                </c:pt>
                <c:pt idx="134">
                  <c:v>1108.8000000000009</c:v>
                </c:pt>
                <c:pt idx="135">
                  <c:v>1117.4625000000008</c:v>
                </c:pt>
                <c:pt idx="136">
                  <c:v>1126.1250000000007</c:v>
                </c:pt>
                <c:pt idx="137">
                  <c:v>1134.7875000000006</c:v>
                </c:pt>
                <c:pt idx="138">
                  <c:v>1143.4500000000005</c:v>
                </c:pt>
                <c:pt idx="139">
                  <c:v>1152.1125000000004</c:v>
                </c:pt>
                <c:pt idx="140">
                  <c:v>1160.7750000000003</c:v>
                </c:pt>
                <c:pt idx="141">
                  <c:v>1169.4375000000002</c:v>
                </c:pt>
                <c:pt idx="142">
                  <c:v>1178.1000000000001</c:v>
                </c:pt>
                <c:pt idx="143">
                  <c:v>1186.7625</c:v>
                </c:pt>
                <c:pt idx="144">
                  <c:v>1195.425</c:v>
                </c:pt>
                <c:pt idx="145">
                  <c:v>1204.0874999999999</c:v>
                </c:pt>
                <c:pt idx="146">
                  <c:v>1212.7499999999998</c:v>
                </c:pt>
                <c:pt idx="147">
                  <c:v>1221.4124999999997</c:v>
                </c:pt>
                <c:pt idx="148">
                  <c:v>1230.0749999999996</c:v>
                </c:pt>
                <c:pt idx="149">
                  <c:v>1238.7374999999995</c:v>
                </c:pt>
                <c:pt idx="150">
                  <c:v>1247.3999999999994</c:v>
                </c:pt>
                <c:pt idx="151">
                  <c:v>1256.0624999999993</c:v>
                </c:pt>
                <c:pt idx="152">
                  <c:v>1264.7249999999992</c:v>
                </c:pt>
                <c:pt idx="153">
                  <c:v>1273.3874999999991</c:v>
                </c:pt>
                <c:pt idx="154">
                  <c:v>1282.049999999999</c:v>
                </c:pt>
                <c:pt idx="155">
                  <c:v>1290.712499999999</c:v>
                </c:pt>
                <c:pt idx="156">
                  <c:v>1299.3749999999989</c:v>
                </c:pt>
                <c:pt idx="157">
                  <c:v>1308.0374999999988</c:v>
                </c:pt>
                <c:pt idx="158">
                  <c:v>1316.6999999999987</c:v>
                </c:pt>
                <c:pt idx="159">
                  <c:v>1325.3624999999986</c:v>
                </c:pt>
                <c:pt idx="160">
                  <c:v>1334.0249999999985</c:v>
                </c:pt>
                <c:pt idx="161">
                  <c:v>1342.6874999999984</c:v>
                </c:pt>
                <c:pt idx="162">
                  <c:v>1351.3499999999983</c:v>
                </c:pt>
                <c:pt idx="163">
                  <c:v>1360.0124999999982</c:v>
                </c:pt>
                <c:pt idx="164">
                  <c:v>1368.6749999999981</c:v>
                </c:pt>
                <c:pt idx="165">
                  <c:v>1377.337499999998</c:v>
                </c:pt>
                <c:pt idx="166">
                  <c:v>1385.999999999998</c:v>
                </c:pt>
                <c:pt idx="167">
                  <c:v>1394.6624999999979</c:v>
                </c:pt>
                <c:pt idx="168">
                  <c:v>1403.3249999999978</c:v>
                </c:pt>
                <c:pt idx="169">
                  <c:v>1411.9874999999977</c:v>
                </c:pt>
                <c:pt idx="170">
                  <c:v>1420.6499999999976</c:v>
                </c:pt>
                <c:pt idx="171">
                  <c:v>1429.3124999999975</c:v>
                </c:pt>
                <c:pt idx="172">
                  <c:v>1437.9749999999974</c:v>
                </c:pt>
                <c:pt idx="173">
                  <c:v>1446.6374999999973</c:v>
                </c:pt>
                <c:pt idx="174">
                  <c:v>1455.2999999999972</c:v>
                </c:pt>
                <c:pt idx="175">
                  <c:v>1463.9624999999971</c:v>
                </c:pt>
                <c:pt idx="176">
                  <c:v>1472.624999999997</c:v>
                </c:pt>
                <c:pt idx="177">
                  <c:v>1481.287499999997</c:v>
                </c:pt>
                <c:pt idx="178">
                  <c:v>1489.9499999999969</c:v>
                </c:pt>
                <c:pt idx="179">
                  <c:v>1498.6124999999968</c:v>
                </c:pt>
                <c:pt idx="180">
                  <c:v>1507.2749999999967</c:v>
                </c:pt>
                <c:pt idx="181">
                  <c:v>1515.9374999999966</c:v>
                </c:pt>
                <c:pt idx="182">
                  <c:v>1524.5999999999965</c:v>
                </c:pt>
                <c:pt idx="183">
                  <c:v>1533.2624999999964</c:v>
                </c:pt>
                <c:pt idx="184">
                  <c:v>1541.9249999999963</c:v>
                </c:pt>
                <c:pt idx="185">
                  <c:v>1550.5874999999962</c:v>
                </c:pt>
                <c:pt idx="186">
                  <c:v>1559.2499999999961</c:v>
                </c:pt>
                <c:pt idx="187">
                  <c:v>1567.912499999996</c:v>
                </c:pt>
                <c:pt idx="188">
                  <c:v>1576.574999999996</c:v>
                </c:pt>
                <c:pt idx="189">
                  <c:v>1585.2374999999959</c:v>
                </c:pt>
                <c:pt idx="190">
                  <c:v>1593.8999999999958</c:v>
                </c:pt>
                <c:pt idx="191">
                  <c:v>1602.5624999999957</c:v>
                </c:pt>
                <c:pt idx="192">
                  <c:v>1611.2249999999956</c:v>
                </c:pt>
                <c:pt idx="193">
                  <c:v>1619.8874999999955</c:v>
                </c:pt>
                <c:pt idx="194">
                  <c:v>1628.5499999999954</c:v>
                </c:pt>
                <c:pt idx="195">
                  <c:v>1637.2124999999953</c:v>
                </c:pt>
                <c:pt idx="196">
                  <c:v>1645.8749999999952</c:v>
                </c:pt>
                <c:pt idx="197">
                  <c:v>1654.5374999999951</c:v>
                </c:pt>
                <c:pt idx="198">
                  <c:v>1654.5374999999951</c:v>
                </c:pt>
                <c:pt idx="199">
                  <c:v>1663.199999999995</c:v>
                </c:pt>
              </c:numCache>
            </c:numRef>
          </c:val>
          <c:smooth val="0"/>
          <c:extLst>
            <c:ext xmlns:c16="http://schemas.microsoft.com/office/drawing/2014/chart" uri="{C3380CC4-5D6E-409C-BE32-E72D297353CC}">
              <c16:uniqueId val="{00000002-6656-4C7A-9E43-D732B67527D5}"/>
            </c:ext>
          </c:extLst>
        </c:ser>
        <c:dLbls>
          <c:showLegendKey val="0"/>
          <c:showVal val="0"/>
          <c:showCatName val="0"/>
          <c:showSerName val="0"/>
          <c:showPercent val="0"/>
          <c:showBubbleSize val="0"/>
        </c:dLbls>
        <c:marker val="1"/>
        <c:smooth val="0"/>
        <c:axId val="515164080"/>
        <c:axId val="1397366064"/>
      </c:lineChart>
      <c:catAx>
        <c:axId val="850266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Georgia" panose="02040502050405020303" pitchFamily="18" charset="0"/>
                    <a:ea typeface="+mn-ea"/>
                    <a:cs typeface="+mn-cs"/>
                  </a:defRPr>
                </a:pPr>
                <a:r>
                  <a:rPr lang="en-US"/>
                  <a:t>Distance from CRCOG (Miles)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50271936"/>
        <c:crosses val="autoZero"/>
        <c:auto val="1"/>
        <c:lblAlgn val="ctr"/>
        <c:lblOffset val="100"/>
        <c:tickLblSkip val="25"/>
        <c:tickMarkSkip val="50"/>
        <c:noMultiLvlLbl val="0"/>
      </c:catAx>
      <c:valAx>
        <c:axId val="850271936"/>
        <c:scaling>
          <c:orientation val="minMax"/>
          <c:max val="5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eorgia" panose="02040502050405020303" pitchFamily="18" charset="0"/>
                    <a:ea typeface="+mn-ea"/>
                    <a:cs typeface="+mn-cs"/>
                  </a:defRPr>
                </a:pPr>
                <a:r>
                  <a:rPr lang="en-US"/>
                  <a:t>Cumulative Daily Waste Acceptance Rates (Tons / Day)</a:t>
                </a:r>
              </a:p>
            </c:rich>
          </c:tx>
          <c:layout>
            <c:manualLayout>
              <c:xMode val="edge"/>
              <c:yMode val="edge"/>
              <c:x val="4.3900491840579731E-2"/>
              <c:y val="6.2483944826045683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title>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50266032"/>
        <c:crosses val="autoZero"/>
        <c:crossBetween val="between"/>
      </c:valAx>
      <c:valAx>
        <c:axId val="1397366064"/>
        <c:scaling>
          <c:orientation val="minMax"/>
          <c:max val="5000"/>
        </c:scaling>
        <c:delete val="0"/>
        <c:axPos val="r"/>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515164080"/>
        <c:crosses val="max"/>
        <c:crossBetween val="between"/>
      </c:valAx>
      <c:catAx>
        <c:axId val="515164080"/>
        <c:scaling>
          <c:orientation val="minMax"/>
        </c:scaling>
        <c:delete val="1"/>
        <c:axPos val="t"/>
        <c:numFmt formatCode="0" sourceLinked="1"/>
        <c:majorTickMark val="out"/>
        <c:minorTickMark val="none"/>
        <c:tickLblPos val="nextTo"/>
        <c:crossAx val="1397366064"/>
        <c:crosses val="max"/>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latin typeface="Georgia" panose="02040502050405020303"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Tolland County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3A5-46FF-9442-A8131FBCBA39}"/>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23A5-46FF-9442-A8131FBCBA39}"/>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23A5-46FF-9442-A8131FBCBA39}"/>
              </c:ext>
            </c:extLst>
          </c:dPt>
          <c:dLbls>
            <c:dLbl>
              <c:idx val="0"/>
              <c:tx>
                <c:rich>
                  <a:bodyPr/>
                  <a:lstStyle/>
                  <a:p>
                    <a:fld id="{64AFB72D-E140-4A56-AD12-F6E14BBEC6EE}" type="CATEGORYNAME">
                      <a:rPr lang="en-US"/>
                      <a:pPr/>
                      <a:t>[CATEGORY NAME]</a:t>
                    </a:fld>
                    <a:r>
                      <a:rPr lang="en-US" baseline="0"/>
                      <a:t> </a:t>
                    </a:r>
                    <a:fld id="{269D531D-D790-4890-8021-E11AB2800BFC}" type="VALUE">
                      <a:rPr lang="en-US" baseline="0"/>
                      <a:pPr/>
                      <a:t>[VALUE]</a:t>
                    </a:fld>
                    <a:endParaRPr lang="en-US" baseline="0"/>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3A5-46FF-9442-A8131FBCBA39}"/>
                </c:ext>
              </c:extLst>
            </c:dLbl>
            <c:dLbl>
              <c:idx val="1"/>
              <c:layout>
                <c:manualLayout>
                  <c:x val="-2.5627883136852955E-3"/>
                  <c:y val="-8.2137641342064476E-17"/>
                </c:manualLayout>
              </c:layout>
              <c:tx>
                <c:rich>
                  <a:bodyPr/>
                  <a:lstStyle/>
                  <a:p>
                    <a:fld id="{32510244-B118-4E5F-B1A1-ACAE0D779CDE}" type="CATEGORYNAME">
                      <a:rPr lang="en-US"/>
                      <a:pPr/>
                      <a:t>[CATEGORY NAME]</a:t>
                    </a:fld>
                    <a:r>
                      <a:rPr lang="en-US" baseline="0"/>
                      <a:t> </a:t>
                    </a:r>
                    <a:fld id="{D42CB83A-C0D6-469B-9BEE-200F29051101}" type="VALUE">
                      <a:rPr lang="en-US" baseline="0"/>
                      <a:pPr/>
                      <a:t>[VALUE]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3A5-46FF-9442-A8131FBCBA39}"/>
                </c:ext>
              </c:extLst>
            </c:dLbl>
            <c:dLbl>
              <c:idx val="2"/>
              <c:layout>
                <c:manualLayout>
                  <c:x val="1.9860973187686211E-2"/>
                  <c:y val="0"/>
                </c:manualLayout>
              </c:layout>
              <c:tx>
                <c:rich>
                  <a:bodyPr/>
                  <a:lstStyle/>
                  <a:p>
                    <a:fld id="{BAB0A960-8B89-41F2-B420-947C3421F2F5}" type="CATEGORYNAME">
                      <a:rPr lang="en-US"/>
                      <a:pPr/>
                      <a:t>[CATEGORY NAME]</a:t>
                    </a:fld>
                    <a:r>
                      <a:rPr lang="en-US" baseline="0"/>
                      <a:t>  </a:t>
                    </a:r>
                    <a:fld id="{9309DB48-A0BA-4565-8CD5-F7D30DD4D409}" type="VALUE">
                      <a:rPr lang="en-US" baseline="0"/>
                      <a:pPr/>
                      <a:t>[VALUE]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layout>
                    <c:manualLayout>
                      <c:w val="0.23461400120416925"/>
                      <c:h val="0.10281742125984251"/>
                    </c:manualLayout>
                  </c15:layout>
                  <c15:dlblFieldTable/>
                  <c15:showDataLabelsRange val="0"/>
                </c:ext>
                <c:ext xmlns:c16="http://schemas.microsoft.com/office/drawing/2014/chart" uri="{C3380CC4-5D6E-409C-BE32-E72D297353CC}">
                  <c16:uniqueId val="{00000005-23A5-46FF-9442-A8131FBCBA39}"/>
                </c:ext>
              </c:extLst>
            </c:dLbl>
            <c:spPr>
              <a:no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Government </c:v>
                </c:pt>
                <c:pt idx="1">
                  <c:v>Retail</c:v>
                </c:pt>
                <c:pt idx="2">
                  <c:v>Manufacturing</c:v>
                </c:pt>
              </c:strCache>
            </c:strRef>
          </c:cat>
          <c:val>
            <c:numRef>
              <c:f>Sheet1!$B$2:$B$4</c:f>
              <c:numCache>
                <c:formatCode>0%</c:formatCode>
                <c:ptCount val="3"/>
                <c:pt idx="0">
                  <c:v>0.33</c:v>
                </c:pt>
                <c:pt idx="1">
                  <c:v>0.16</c:v>
                </c:pt>
                <c:pt idx="2">
                  <c:v>7.0000000000000007E-2</c:v>
                </c:pt>
              </c:numCache>
            </c:numRef>
          </c:val>
          <c:extLst>
            <c:ext xmlns:c16="http://schemas.microsoft.com/office/drawing/2014/chart" uri="{C3380CC4-5D6E-409C-BE32-E72D297353CC}">
              <c16:uniqueId val="{00000006-23A5-46FF-9442-A8131FBCBA39}"/>
            </c:ext>
          </c:extLst>
        </c:ser>
        <c:dLbls>
          <c:dLblPos val="bestFit"/>
          <c:showLegendKey val="0"/>
          <c:showVal val="0"/>
          <c:showCatName val="0"/>
          <c:showSerName val="0"/>
          <c:showPercent val="1"/>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Hartford County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9DD-4215-9C6D-F652149B7FB9}"/>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69DD-4215-9C6D-F652149B7FB9}"/>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69DD-4215-9C6D-F652149B7FB9}"/>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69DD-4215-9C6D-F652149B7FB9}"/>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69DD-4215-9C6D-F652149B7FB9}"/>
              </c:ext>
            </c:extLst>
          </c:dPt>
          <c:dLbls>
            <c:spPr>
              <a:no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Sheet1!$A$2:$A$6</c:f>
              <c:strCache>
                <c:ptCount val="5"/>
                <c:pt idx="0">
                  <c:v>Health Care</c:v>
                </c:pt>
                <c:pt idx="1">
                  <c:v>Govenrment</c:v>
                </c:pt>
                <c:pt idx="2">
                  <c:v>Manufacturing</c:v>
                </c:pt>
                <c:pt idx="3">
                  <c:v>Finance</c:v>
                </c:pt>
                <c:pt idx="4">
                  <c:v>Retail</c:v>
                </c:pt>
              </c:strCache>
            </c:strRef>
          </c:cat>
          <c:val>
            <c:numRef>
              <c:f>Sheet1!$B$2:$B$6</c:f>
              <c:numCache>
                <c:formatCode>0%</c:formatCode>
                <c:ptCount val="5"/>
                <c:pt idx="0">
                  <c:v>0.16</c:v>
                </c:pt>
                <c:pt idx="1">
                  <c:v>0.13</c:v>
                </c:pt>
                <c:pt idx="2">
                  <c:v>0.11</c:v>
                </c:pt>
                <c:pt idx="3">
                  <c:v>0.1</c:v>
                </c:pt>
                <c:pt idx="4">
                  <c:v>0.09</c:v>
                </c:pt>
              </c:numCache>
            </c:numRef>
          </c:val>
          <c:extLst>
            <c:ext xmlns:c16="http://schemas.microsoft.com/office/drawing/2014/chart" uri="{C3380CC4-5D6E-409C-BE32-E72D297353CC}">
              <c16:uniqueId val="{0000000A-69DD-4215-9C6D-F652149B7FB9}"/>
            </c:ext>
          </c:extLst>
        </c:ser>
        <c:dLbls>
          <c:dLblPos val="ctr"/>
          <c:showLegendKey val="0"/>
          <c:showVal val="1"/>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9071-40CE-B658-9C9309C79EE8}"/>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9071-40CE-B658-9C9309C79EE8}"/>
              </c:ext>
            </c:extLst>
          </c:dPt>
          <c:dPt>
            <c:idx val="2"/>
            <c:bubble3D val="0"/>
            <c:spPr>
              <a:solidFill>
                <a:schemeClr val="tx2"/>
              </a:solidFill>
              <a:ln w="19050">
                <a:solidFill>
                  <a:schemeClr val="lt1"/>
                </a:solidFill>
              </a:ln>
              <a:effectLst/>
            </c:spPr>
            <c:extLst>
              <c:ext xmlns:c16="http://schemas.microsoft.com/office/drawing/2014/chart" uri="{C3380CC4-5D6E-409C-BE32-E72D297353CC}">
                <c16:uniqueId val="{00000005-9071-40CE-B658-9C9309C79EE8}"/>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6-73A5-47E1-97BF-A0FDF52FECAA}"/>
              </c:ext>
            </c:extLst>
          </c:dPt>
          <c:dLbls>
            <c:dLbl>
              <c:idx val="3"/>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showLegendKey val="0"/>
              <c:showVal val="1"/>
              <c:showCatName val="0"/>
              <c:showSerName val="0"/>
              <c:showPercent val="1"/>
              <c:showBubbleSize val="0"/>
              <c:extLst>
                <c:ext xmlns:c16="http://schemas.microsoft.com/office/drawing/2014/chart" uri="{C3380CC4-5D6E-409C-BE32-E72D297353CC}">
                  <c16:uniqueId val="{00000006-73A5-47E1-97BF-A0FDF52FECAA}"/>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Sheet5!$I$4:$I$7</c:f>
              <c:strCache>
                <c:ptCount val="4"/>
                <c:pt idx="0">
                  <c:v>Subscription Services 
(various haulers)</c:v>
                </c:pt>
                <c:pt idx="1">
                  <c:v>City Run Service</c:v>
                </c:pt>
                <c:pt idx="2">
                  <c:v>City Contracted Hauler</c:v>
                </c:pt>
                <c:pt idx="3">
                  <c:v>Subscription (trash)/ City-Contracted (recycling)</c:v>
                </c:pt>
              </c:strCache>
            </c:strRef>
          </c:cat>
          <c:val>
            <c:numRef>
              <c:f>Sheet5!$J$4:$J$7</c:f>
              <c:numCache>
                <c:formatCode>General</c:formatCode>
                <c:ptCount val="4"/>
                <c:pt idx="0">
                  <c:v>6</c:v>
                </c:pt>
                <c:pt idx="1">
                  <c:v>3</c:v>
                </c:pt>
                <c:pt idx="2">
                  <c:v>22</c:v>
                </c:pt>
                <c:pt idx="3">
                  <c:v>1</c:v>
                </c:pt>
              </c:numCache>
            </c:numRef>
          </c:val>
          <c:extLst>
            <c:ext xmlns:c16="http://schemas.microsoft.com/office/drawing/2014/chart" uri="{C3380CC4-5D6E-409C-BE32-E72D297353CC}">
              <c16:uniqueId val="{00000006-9071-40CE-B658-9C9309C79EE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ln>
                      <a:noFill/>
                    </a:ln>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'Funding cleaned'!$J$39:$J$45</c:f>
              <c:strCache>
                <c:ptCount val="7"/>
                <c:pt idx="0">
                  <c:v>General fund</c:v>
                </c:pt>
                <c:pt idx="1">
                  <c:v>User fees</c:v>
                </c:pt>
                <c:pt idx="2">
                  <c:v>Tipping fees</c:v>
                </c:pt>
                <c:pt idx="3">
                  <c:v>Subscription</c:v>
                </c:pt>
                <c:pt idx="4">
                  <c:v>Govt funds (taxes, etc)</c:v>
                </c:pt>
                <c:pt idx="5">
                  <c:v>2 or more funding mechanisms</c:v>
                </c:pt>
                <c:pt idx="6">
                  <c:v>Unit based pricing</c:v>
                </c:pt>
              </c:strCache>
            </c:strRef>
          </c:cat>
          <c:val>
            <c:numRef>
              <c:f>'Funding cleaned'!$I$39:$I$45</c:f>
              <c:numCache>
                <c:formatCode>0</c:formatCode>
                <c:ptCount val="7"/>
                <c:pt idx="0">
                  <c:v>9</c:v>
                </c:pt>
                <c:pt idx="1">
                  <c:v>9</c:v>
                </c:pt>
                <c:pt idx="2">
                  <c:v>4</c:v>
                </c:pt>
                <c:pt idx="3">
                  <c:v>7</c:v>
                </c:pt>
                <c:pt idx="4">
                  <c:v>19</c:v>
                </c:pt>
                <c:pt idx="5">
                  <c:v>10</c:v>
                </c:pt>
                <c:pt idx="6">
                  <c:v>3</c:v>
                </c:pt>
              </c:numCache>
            </c:numRef>
          </c:val>
          <c:extLst>
            <c:ext xmlns:c16="http://schemas.microsoft.com/office/drawing/2014/chart" uri="{C3380CC4-5D6E-409C-BE32-E72D297353CC}">
              <c16:uniqueId val="{00000000-DCF3-4F77-8C4A-54AFF913CF1A}"/>
            </c:ext>
          </c:extLst>
        </c:ser>
        <c:ser>
          <c:idx val="1"/>
          <c:order val="1"/>
          <c:spPr>
            <a:solidFill>
              <a:schemeClr val="accent2"/>
            </a:solidFill>
            <a:ln>
              <a:noFill/>
            </a:ln>
            <a:effectLst/>
          </c:spPr>
          <c:invertIfNegative val="0"/>
          <c:cat>
            <c:strRef>
              <c:f>'Funding cleaned'!$J$39:$J$45</c:f>
              <c:strCache>
                <c:ptCount val="7"/>
                <c:pt idx="0">
                  <c:v>General fund</c:v>
                </c:pt>
                <c:pt idx="1">
                  <c:v>User fees</c:v>
                </c:pt>
                <c:pt idx="2">
                  <c:v>Tipping fees</c:v>
                </c:pt>
                <c:pt idx="3">
                  <c:v>Subscription</c:v>
                </c:pt>
                <c:pt idx="4">
                  <c:v>Govt funds (taxes, etc)</c:v>
                </c:pt>
                <c:pt idx="5">
                  <c:v>2 or more funding mechanisms</c:v>
                </c:pt>
                <c:pt idx="6">
                  <c:v>Unit based pricing</c:v>
                </c:pt>
              </c:strCache>
            </c:strRef>
          </c:cat>
          <c:val>
            <c:numRef>
              <c:f>'Funding cleaned'!$J$39:$J$45</c:f>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1-DCF3-4F77-8C4A-54AFF913CF1A}"/>
            </c:ext>
          </c:extLst>
        </c:ser>
        <c:dLbls>
          <c:showLegendKey val="0"/>
          <c:showVal val="0"/>
          <c:showCatName val="0"/>
          <c:showSerName val="0"/>
          <c:showPercent val="0"/>
          <c:showBubbleSize val="0"/>
        </c:dLbls>
        <c:gapWidth val="150"/>
        <c:overlap val="100"/>
        <c:axId val="1208462240"/>
        <c:axId val="1208460160"/>
      </c:barChart>
      <c:catAx>
        <c:axId val="1208462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ln>
                  <a:noFill/>
                </a:ln>
                <a:solidFill>
                  <a:schemeClr val="tx1"/>
                </a:solidFill>
                <a:latin typeface="+mn-lt"/>
                <a:ea typeface="+mn-ea"/>
                <a:cs typeface="+mn-cs"/>
              </a:defRPr>
            </a:pPr>
            <a:endParaRPr lang="en-US"/>
          </a:p>
        </c:txPr>
        <c:crossAx val="1208460160"/>
        <c:crosses val="autoZero"/>
        <c:auto val="1"/>
        <c:lblAlgn val="ctr"/>
        <c:lblOffset val="100"/>
        <c:noMultiLvlLbl val="0"/>
      </c:catAx>
      <c:valAx>
        <c:axId val="1208460160"/>
        <c:scaling>
          <c:orientation val="minMax"/>
          <c:max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ln>
                      <a:noFill/>
                    </a:ln>
                    <a:solidFill>
                      <a:schemeClr val="tx1"/>
                    </a:solidFill>
                    <a:latin typeface="+mn-lt"/>
                    <a:ea typeface="+mn-ea"/>
                    <a:cs typeface="+mn-cs"/>
                  </a:defRPr>
                </a:pPr>
                <a:r>
                  <a:rPr lang="en-US"/>
                  <a:t>Number of Communities</a:t>
                </a:r>
              </a:p>
            </c:rich>
          </c:tx>
          <c:overlay val="0"/>
          <c:spPr>
            <a:noFill/>
            <a:ln>
              <a:noFill/>
            </a:ln>
            <a:effectLst/>
          </c:spPr>
          <c:txPr>
            <a:bodyPr rot="-5400000" spcFirstLastPara="1" vertOverflow="ellipsis" vert="horz" wrap="square" anchor="ctr" anchorCtr="1"/>
            <a:lstStyle/>
            <a:p>
              <a:pPr>
                <a:defRPr sz="1050" b="0" i="0" u="none" strike="noStrike" kern="1200" baseline="0">
                  <a:ln>
                    <a:noFill/>
                  </a:ln>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ln>
                  <a:noFill/>
                </a:ln>
                <a:solidFill>
                  <a:schemeClr val="tx1"/>
                </a:solidFill>
                <a:latin typeface="+mn-lt"/>
                <a:ea typeface="+mn-ea"/>
                <a:cs typeface="+mn-cs"/>
              </a:defRPr>
            </a:pPr>
            <a:endParaRPr lang="en-US"/>
          </a:p>
        </c:txPr>
        <c:crossAx val="1208462240"/>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noFill/>
      <a:round/>
    </a:ln>
    <a:effectLst/>
  </c:spPr>
  <c:txPr>
    <a:bodyPr/>
    <a:lstStyle/>
    <a:p>
      <a:pPr>
        <a:defRPr sz="1050">
          <a:ln>
            <a:noFill/>
          </a:ln>
          <a:solidFill>
            <a:schemeClr val="tx1"/>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Diversion Rate</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2019 CRCOG</c:v>
                </c:pt>
                <c:pt idx="1">
                  <c:v>2019 CT*</c:v>
                </c:pt>
                <c:pt idx="2">
                  <c:v>Hennepin County, MN (2016 - 2020 ave)</c:v>
                </c:pt>
                <c:pt idx="3">
                  <c:v>2024 CT Goal</c:v>
                </c:pt>
              </c:strCache>
            </c:strRef>
          </c:cat>
          <c:val>
            <c:numRef>
              <c:f>Sheet1!$B$2:$B$5</c:f>
              <c:numCache>
                <c:formatCode>0%</c:formatCode>
                <c:ptCount val="4"/>
                <c:pt idx="0">
                  <c:v>0.23</c:v>
                </c:pt>
                <c:pt idx="1">
                  <c:v>0.28000000000000003</c:v>
                </c:pt>
                <c:pt idx="2">
                  <c:v>0.49</c:v>
                </c:pt>
                <c:pt idx="3">
                  <c:v>0.6</c:v>
                </c:pt>
              </c:numCache>
            </c:numRef>
          </c:val>
          <c:extLst>
            <c:ext xmlns:c16="http://schemas.microsoft.com/office/drawing/2014/chart" uri="{C3380CC4-5D6E-409C-BE32-E72D297353CC}">
              <c16:uniqueId val="{00000000-D88D-47F4-9700-58C3D6540988}"/>
            </c:ext>
          </c:extLst>
        </c:ser>
        <c:dLbls>
          <c:showLegendKey val="0"/>
          <c:showVal val="0"/>
          <c:showCatName val="0"/>
          <c:showSerName val="0"/>
          <c:showPercent val="0"/>
          <c:showBubbleSize val="0"/>
        </c:dLbls>
        <c:gapWidth val="72"/>
        <c:overlap val="15"/>
        <c:axId val="1251753551"/>
        <c:axId val="1251763535"/>
      </c:barChart>
      <c:catAx>
        <c:axId val="1251753551"/>
        <c:scaling>
          <c:orientation val="minMax"/>
        </c:scaling>
        <c:delete val="0"/>
        <c:axPos val="b"/>
        <c:numFmt formatCode="General" sourceLinked="1"/>
        <c:majorTickMark val="none"/>
        <c:minorTickMark val="none"/>
        <c:tickLblPos val="nextTo"/>
        <c:spPr>
          <a:noFill/>
          <a:ln w="9525" cap="flat" cmpd="sng" algn="ctr">
            <a:solidFill>
              <a:schemeClr val="accent5"/>
            </a:solidFill>
            <a:round/>
          </a:ln>
          <a:effectLst/>
        </c:spPr>
        <c:txPr>
          <a:bodyPr rot="-60000000" spcFirstLastPara="1" vertOverflow="ellipsis" vert="horz" wrap="square" anchor="ctr" anchorCtr="1"/>
          <a:lstStyle/>
          <a:p>
            <a:pPr>
              <a:defRPr sz="1197" b="0" i="0" u="none" strike="noStrike" kern="1200" baseline="0">
                <a:solidFill>
                  <a:schemeClr val="tx1"/>
                </a:solidFill>
                <a:latin typeface="+mn-lt"/>
                <a:ea typeface="+mn-ea"/>
                <a:cs typeface="+mn-cs"/>
              </a:defRPr>
            </a:pPr>
            <a:endParaRPr lang="en-US"/>
          </a:p>
        </c:txPr>
        <c:crossAx val="1251763535"/>
        <c:crosses val="autoZero"/>
        <c:auto val="1"/>
        <c:lblAlgn val="ctr"/>
        <c:lblOffset val="100"/>
        <c:noMultiLvlLbl val="0"/>
      </c:catAx>
      <c:valAx>
        <c:axId val="1251763535"/>
        <c:scaling>
          <c:orientation val="minMax"/>
        </c:scaling>
        <c:delete val="0"/>
        <c:axPos val="l"/>
        <c:majorGridlines>
          <c:spPr>
            <a:ln w="9525" cap="flat" cmpd="sng" algn="ctr">
              <a:noFill/>
              <a:round/>
            </a:ln>
            <a:effectLst/>
          </c:spPr>
        </c:majorGridlines>
        <c:numFmt formatCode="0%" sourceLinked="1"/>
        <c:majorTickMark val="none"/>
        <c:minorTickMark val="none"/>
        <c:tickLblPos val="nextTo"/>
        <c:spPr>
          <a:noFill/>
          <a:ln>
            <a:solidFill>
              <a:schemeClr val="accent5"/>
            </a:solidFill>
          </a:ln>
          <a:effectLst/>
        </c:spPr>
        <c:txPr>
          <a:bodyPr rot="-60000000" spcFirstLastPara="1" vertOverflow="ellipsis" vert="horz" wrap="square" anchor="ctr" anchorCtr="1"/>
          <a:lstStyle/>
          <a:p>
            <a:pPr>
              <a:defRPr sz="1197" b="0" i="0" u="none" strike="noStrike" kern="1200" baseline="0">
                <a:solidFill>
                  <a:schemeClr val="tx1"/>
                </a:solidFill>
                <a:latin typeface="+mn-lt"/>
                <a:ea typeface="+mn-ea"/>
                <a:cs typeface="+mn-cs"/>
              </a:defRPr>
            </a:pPr>
            <a:endParaRPr lang="en-US"/>
          </a:p>
        </c:txPr>
        <c:crossAx val="12517535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2019 Tons per Year</c:v>
                </c:pt>
              </c:strCache>
            </c:strRef>
          </c:tx>
          <c:spPr>
            <a:ln>
              <a:noFill/>
            </a:ln>
          </c:spPr>
          <c:dPt>
            <c:idx val="0"/>
            <c:bubble3D val="0"/>
            <c:spPr>
              <a:solidFill>
                <a:schemeClr val="accent1"/>
              </a:solidFill>
              <a:ln w="19050">
                <a:noFill/>
              </a:ln>
              <a:effectLst/>
            </c:spPr>
            <c:extLst>
              <c:ext xmlns:c16="http://schemas.microsoft.com/office/drawing/2014/chart" uri="{C3380CC4-5D6E-409C-BE32-E72D297353CC}">
                <c16:uniqueId val="{00000001-6FBF-47AB-9B18-BF04483B7634}"/>
              </c:ext>
            </c:extLst>
          </c:dPt>
          <c:dPt>
            <c:idx val="1"/>
            <c:bubble3D val="0"/>
            <c:spPr>
              <a:solidFill>
                <a:schemeClr val="tx2"/>
              </a:solidFill>
              <a:ln w="19050">
                <a:noFill/>
              </a:ln>
              <a:effectLst/>
            </c:spPr>
            <c:extLst>
              <c:ext xmlns:c16="http://schemas.microsoft.com/office/drawing/2014/chart" uri="{C3380CC4-5D6E-409C-BE32-E72D297353CC}">
                <c16:uniqueId val="{00000003-6FBF-47AB-9B18-BF04483B7634}"/>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Diverted</c:v>
                </c:pt>
                <c:pt idx="1">
                  <c:v>Disposed</c:v>
                </c:pt>
              </c:strCache>
            </c:strRef>
          </c:cat>
          <c:val>
            <c:numRef>
              <c:f>Sheet1!$B$2:$B$3</c:f>
              <c:numCache>
                <c:formatCode>#,##0</c:formatCode>
                <c:ptCount val="2"/>
                <c:pt idx="0">
                  <c:v>170186</c:v>
                </c:pt>
                <c:pt idx="1">
                  <c:v>558923</c:v>
                </c:pt>
              </c:numCache>
            </c:numRef>
          </c:val>
          <c:extLst>
            <c:ext xmlns:c16="http://schemas.microsoft.com/office/drawing/2014/chart" uri="{C3380CC4-5D6E-409C-BE32-E72D297353CC}">
              <c16:uniqueId val="{00000008-6FBF-47AB-9B18-BF04483B7634}"/>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Reyclables</c:v>
                </c:pt>
              </c:strCache>
            </c:strRef>
          </c:tx>
          <c:spPr>
            <a:solidFill>
              <a:schemeClr val="accent1"/>
            </a:solidFill>
            <a:ln>
              <a:noFill/>
            </a:ln>
            <a:effectLst/>
          </c:spPr>
          <c:invertIfNegative val="0"/>
          <c:dLbls>
            <c:dLbl>
              <c:idx val="3"/>
              <c:layout>
                <c:manualLayout>
                  <c:x val="-4.4483465027802177E-2"/>
                  <c:y val="6.7128777401341835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9A-4867-B4D9-1F0E043622A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Total</c:v>
                </c:pt>
                <c:pt idx="1">
                  <c:v>Commercial</c:v>
                </c:pt>
                <c:pt idx="2">
                  <c:v>Residential</c:v>
                </c:pt>
                <c:pt idx="3">
                  <c:v>Mixed Res/Comm.</c:v>
                </c:pt>
              </c:strCache>
            </c:strRef>
          </c:cat>
          <c:val>
            <c:numRef>
              <c:f>Sheet1!$B$2:$B$5</c:f>
              <c:numCache>
                <c:formatCode>#,##0</c:formatCode>
                <c:ptCount val="4"/>
                <c:pt idx="0">
                  <c:v>129403</c:v>
                </c:pt>
                <c:pt idx="1">
                  <c:v>55150</c:v>
                </c:pt>
                <c:pt idx="2">
                  <c:v>73030</c:v>
                </c:pt>
                <c:pt idx="3">
                  <c:v>1222</c:v>
                </c:pt>
              </c:numCache>
            </c:numRef>
          </c:val>
          <c:extLst>
            <c:ext xmlns:c16="http://schemas.microsoft.com/office/drawing/2014/chart" uri="{C3380CC4-5D6E-409C-BE32-E72D297353CC}">
              <c16:uniqueId val="{00000001-BE9A-4867-B4D9-1F0E043622A3}"/>
            </c:ext>
          </c:extLst>
        </c:ser>
        <c:ser>
          <c:idx val="1"/>
          <c:order val="1"/>
          <c:tx>
            <c:strRef>
              <c:f>Sheet1!$C$1</c:f>
              <c:strCache>
                <c:ptCount val="1"/>
                <c:pt idx="0">
                  <c:v>Other Recyclables</c:v>
                </c:pt>
              </c:strCache>
            </c:strRef>
          </c:tx>
          <c:spPr>
            <a:solidFill>
              <a:schemeClr val="accent2"/>
            </a:solidFill>
            <a:ln>
              <a:noFill/>
            </a:ln>
            <a:effectLst/>
          </c:spPr>
          <c:invertIfNegative val="0"/>
          <c:dLbls>
            <c:dLbl>
              <c:idx val="0"/>
              <c:layout>
                <c:manualLayout>
                  <c:x val="1.9800019800019801E-3"/>
                  <c:y val="-0.102813852813852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9A-4867-B4D9-1F0E043622A3}"/>
                </c:ext>
              </c:extLst>
            </c:dLbl>
            <c:dLbl>
              <c:idx val="1"/>
              <c:layout>
                <c:manualLayout>
                  <c:x val="3.5118525021949078E-3"/>
                  <c:y val="-8.75592748713154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E9A-4867-B4D9-1F0E043622A3}"/>
                </c:ext>
              </c:extLst>
            </c:dLbl>
            <c:dLbl>
              <c:idx val="2"/>
              <c:layout>
                <c:manualLayout>
                  <c:x val="7.0237050043898156E-3"/>
                  <c:y val="-7.29660623927629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E9A-4867-B4D9-1F0E043622A3}"/>
                </c:ext>
              </c:extLst>
            </c:dLbl>
            <c:dLbl>
              <c:idx val="3"/>
              <c:layout>
                <c:manualLayout>
                  <c:x val="1.0535557506584702E-2"/>
                  <c:y val="-0.134257554802683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E9A-4867-B4D9-1F0E043622A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Total</c:v>
                </c:pt>
                <c:pt idx="1">
                  <c:v>Commercial</c:v>
                </c:pt>
                <c:pt idx="2">
                  <c:v>Residential</c:v>
                </c:pt>
                <c:pt idx="3">
                  <c:v>Mixed Res/Comm.</c:v>
                </c:pt>
              </c:strCache>
            </c:strRef>
          </c:cat>
          <c:val>
            <c:numRef>
              <c:f>Sheet1!$C$2:$C$5</c:f>
              <c:numCache>
                <c:formatCode>#,##0</c:formatCode>
                <c:ptCount val="4"/>
                <c:pt idx="0">
                  <c:v>8084</c:v>
                </c:pt>
                <c:pt idx="1">
                  <c:v>4078</c:v>
                </c:pt>
                <c:pt idx="2">
                  <c:v>3464</c:v>
                </c:pt>
                <c:pt idx="3">
                  <c:v>542</c:v>
                </c:pt>
              </c:numCache>
            </c:numRef>
          </c:val>
          <c:extLst>
            <c:ext xmlns:c16="http://schemas.microsoft.com/office/drawing/2014/chart" uri="{C3380CC4-5D6E-409C-BE32-E72D297353CC}">
              <c16:uniqueId val="{00000006-BE9A-4867-B4D9-1F0E043622A3}"/>
            </c:ext>
          </c:extLst>
        </c:ser>
        <c:ser>
          <c:idx val="2"/>
          <c:order val="2"/>
          <c:tx>
            <c:strRef>
              <c:f>Sheet1!$D$1</c:f>
              <c:strCache>
                <c:ptCount val="1"/>
                <c:pt idx="0">
                  <c:v>Organics</c:v>
                </c:pt>
              </c:strCache>
            </c:strRef>
          </c:tx>
          <c:spPr>
            <a:solidFill>
              <a:schemeClr val="accent3"/>
            </a:solidFill>
            <a:ln>
              <a:noFill/>
            </a:ln>
            <a:effectLst/>
          </c:spPr>
          <c:invertIfNegative val="0"/>
          <c:dLbls>
            <c:dLbl>
              <c:idx val="1"/>
              <c:layout>
                <c:manualLayout>
                  <c:x val="6.6725197541703252E-2"/>
                  <c:y val="-2.043049746997360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E9A-4867-B4D9-1F0E043622A3}"/>
                </c:ext>
              </c:extLst>
            </c:dLbl>
            <c:dLbl>
              <c:idx val="2"/>
              <c:layout>
                <c:manualLayout>
                  <c:x val="7.0237050043898158E-2"/>
                  <c:y val="2.9186424957105147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E9A-4867-B4D9-1F0E043622A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Total</c:v>
                </c:pt>
                <c:pt idx="1">
                  <c:v>Commercial</c:v>
                </c:pt>
                <c:pt idx="2">
                  <c:v>Residential</c:v>
                </c:pt>
                <c:pt idx="3">
                  <c:v>Mixed Res/Comm.</c:v>
                </c:pt>
              </c:strCache>
            </c:strRef>
          </c:cat>
          <c:val>
            <c:numRef>
              <c:f>Sheet1!$D$2:$D$5</c:f>
              <c:numCache>
                <c:formatCode>#,##0</c:formatCode>
                <c:ptCount val="4"/>
                <c:pt idx="0">
                  <c:v>32700</c:v>
                </c:pt>
                <c:pt idx="1">
                  <c:v>5151</c:v>
                </c:pt>
                <c:pt idx="2">
                  <c:v>235</c:v>
                </c:pt>
                <c:pt idx="3">
                  <c:v>27314</c:v>
                </c:pt>
              </c:numCache>
            </c:numRef>
          </c:val>
          <c:extLst>
            <c:ext xmlns:c16="http://schemas.microsoft.com/office/drawing/2014/chart" uri="{C3380CC4-5D6E-409C-BE32-E72D297353CC}">
              <c16:uniqueId val="{00000009-BE9A-4867-B4D9-1F0E043622A3}"/>
            </c:ext>
          </c:extLst>
        </c:ser>
        <c:dLbls>
          <c:showLegendKey val="0"/>
          <c:showVal val="0"/>
          <c:showCatName val="0"/>
          <c:showSerName val="0"/>
          <c:showPercent val="0"/>
          <c:showBubbleSize val="0"/>
        </c:dLbls>
        <c:gapWidth val="150"/>
        <c:overlap val="100"/>
        <c:axId val="445931456"/>
        <c:axId val="445920224"/>
      </c:barChart>
      <c:catAx>
        <c:axId val="445931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45920224"/>
        <c:crosses val="autoZero"/>
        <c:auto val="1"/>
        <c:lblAlgn val="ctr"/>
        <c:lblOffset val="100"/>
        <c:noMultiLvlLbl val="0"/>
      </c:catAx>
      <c:valAx>
        <c:axId val="4459202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45931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Series 1</c:v>
                </c:pt>
              </c:strCache>
            </c:strRef>
          </c:tx>
          <c:spPr>
            <a:solidFill>
              <a:schemeClr val="tx2"/>
            </a:solidFill>
            <a:ln>
              <a:noFill/>
            </a:ln>
            <a:effectLst/>
          </c:spPr>
          <c:invertIfNegative val="0"/>
          <c:dLbls>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5943-4629-9ED2-0FC3829C67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U.S. Average</c:v>
                </c:pt>
                <c:pt idx="1">
                  <c:v>CRCOG Median</c:v>
                </c:pt>
                <c:pt idx="2">
                  <c:v>Coventry 
(Unit-based pricing community)</c:v>
                </c:pt>
                <c:pt idx="3">
                  <c:v>Mansfield 
(Unit-based pricing community)</c:v>
                </c:pt>
              </c:strCache>
            </c:strRef>
          </c:cat>
          <c:val>
            <c:numRef>
              <c:f>Sheet1!$B$2:$B$5</c:f>
              <c:numCache>
                <c:formatCode>General</c:formatCode>
                <c:ptCount val="4"/>
                <c:pt idx="0">
                  <c:v>1095</c:v>
                </c:pt>
                <c:pt idx="1">
                  <c:v>949</c:v>
                </c:pt>
                <c:pt idx="2">
                  <c:v>821</c:v>
                </c:pt>
                <c:pt idx="3">
                  <c:v>614</c:v>
                </c:pt>
              </c:numCache>
            </c:numRef>
          </c:val>
          <c:extLst>
            <c:ext xmlns:c16="http://schemas.microsoft.com/office/drawing/2014/chart" uri="{C3380CC4-5D6E-409C-BE32-E72D297353CC}">
              <c16:uniqueId val="{00000001-5943-4629-9ED2-0FC3829C6722}"/>
            </c:ext>
          </c:extLst>
        </c:ser>
        <c:dLbls>
          <c:showLegendKey val="0"/>
          <c:showVal val="0"/>
          <c:showCatName val="0"/>
          <c:showSerName val="0"/>
          <c:showPercent val="0"/>
          <c:showBubbleSize val="0"/>
        </c:dLbls>
        <c:gapWidth val="150"/>
        <c:overlap val="100"/>
        <c:axId val="1660674800"/>
        <c:axId val="1660675216"/>
      </c:barChart>
      <c:catAx>
        <c:axId val="1660674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0675216"/>
        <c:crosses val="autoZero"/>
        <c:auto val="1"/>
        <c:lblAlgn val="ctr"/>
        <c:lblOffset val="100"/>
        <c:noMultiLvlLbl val="0"/>
      </c:catAx>
      <c:valAx>
        <c:axId val="16606752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Pounds Disposed</a:t>
                </a:r>
                <a:r>
                  <a:rPr lang="en-US" baseline="0"/>
                  <a:t> per Capita per Year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06748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B9984F5C-17E0-4007-89FD-1CF07E8E54AF}"/>
      </w:docPartPr>
      <w:docPartBody>
        <w:p w:rsidR="00E07A63" w:rsidRDefault="008E06CD">
          <w:r w:rsidRPr="002D51D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ody CS)">
    <w:altName w:val="Arial"/>
    <w:charset w:val="00"/>
    <w:family w:val="roman"/>
    <w:pitch w:val="default"/>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MinionPro-Regular">
    <w:altName w:val="Calibri"/>
    <w:charset w:val="00"/>
    <w:family w:val="auto"/>
    <w:pitch w:val="variable"/>
    <w:sig w:usb0="60000287" w:usb1="00000001" w:usb2="00000000" w:usb3="00000000" w:csb0="0000019F" w:csb1="00000000"/>
  </w:font>
  <w:font w:name="@Yu Gothic UI">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Myriad-Italic">
    <w:altName w:val="Cambria"/>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ato">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egoe UI Symbol">
    <w:panose1 w:val="020B0502040204020203"/>
    <w:charset w:val="00"/>
    <w:family w:val="swiss"/>
    <w:pitch w:val="variable"/>
    <w:sig w:usb0="800001E3" w:usb1="1200FFEF" w:usb2="00040000" w:usb3="00000000" w:csb0="00000001" w:csb1="00000000"/>
  </w:font>
  <w:font w:name="HARVEY BALLS">
    <w:altName w:val="Calibr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6CD"/>
    <w:rsid w:val="003B2E54"/>
    <w:rsid w:val="008E06CD"/>
    <w:rsid w:val="00A0011E"/>
    <w:rsid w:val="00A01ECE"/>
    <w:rsid w:val="00AB28E1"/>
    <w:rsid w:val="00E07A63"/>
    <w:rsid w:val="00E52A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06C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ROG">
      <a:dk1>
        <a:srgbClr val="3A3737"/>
      </a:dk1>
      <a:lt1>
        <a:srgbClr val="FFFFFF"/>
      </a:lt1>
      <a:dk2>
        <a:srgbClr val="002A7B"/>
      </a:dk2>
      <a:lt2>
        <a:srgbClr val="E7E6E6"/>
      </a:lt2>
      <a:accent1>
        <a:srgbClr val="1D666E"/>
      </a:accent1>
      <a:accent2>
        <a:srgbClr val="D86D21"/>
      </a:accent2>
      <a:accent3>
        <a:srgbClr val="EDB100"/>
      </a:accent3>
      <a:accent4>
        <a:srgbClr val="90B0EC"/>
      </a:accent4>
      <a:accent5>
        <a:srgbClr val="77818C"/>
      </a:accent5>
      <a:accent6>
        <a:srgbClr val="84B2B2"/>
      </a:accent6>
      <a:hlink>
        <a:srgbClr val="1D666E"/>
      </a:hlink>
      <a:folHlink>
        <a:srgbClr val="1D666E"/>
      </a:folHlink>
    </a:clrScheme>
    <a:fontScheme name="Georgia">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73FA8D0-F3A9-4683-A9A1-047111B18737}">
  <we:reference id="f78a3046-9e99-4300-aa2b-5814002b01a2" version="1.46.0.0" store="EXCatalog" storeType="EXCatalog"/>
  <we:alternateReferences>
    <we:reference id="WA104382081" version="1.46.0.0" store="en-US" storeType="OMEX"/>
  </we:alternateReferences>
  <we:properties>
    <we:property name="MENDELEY_CITATIONS" value="[{&quot;citationID&quot;:&quot;MENDELEY_CITATION_2f75bd76-7690-4523-aac6-052eb1fcc470&quot;,&quot;properties&quot;:{&quot;noteIndex&quot;:0},&quot;isEdited&quot;:false,&quot;manualOverride&quot;:{&quot;isManuallyOverridden&quot;:false,&quot;citeprocText&quot;:&quot;(Materials Innovation and Recycling Authority (MIRA), n.d.)&quot;,&quot;manualOverrideText&quot;:&quot;&quot;},&quot;citationTag&quot;:&quot;MENDELEY_CITATION_v3_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&quot;,&quot;citationItems&quot;:[{&quot;id&quot;:&quot;6dd1fc21-7700-3d0c-ab74-907ee9ecd7d6&quot;,&quot;itemData&quot;:{&quot;type&quot;:&quot;webpage&quot;,&quot;id&quot;:&quot;6dd1fc21-7700-3d0c-ab74-907ee9ecd7d6&quot;,&quot;title&quot;:&quot;Who We Are&quot;,&quot;author&quot;:[{&quot;family&quot;:&quot;Materials Innovation and Recycling Authority (MIRA)&quot;,&quot;given&quot;:&quot;&quot;,&quot;parse-names&quot;:false,&quot;dropping-particle&quot;:&quot;&quot;,&quot;non-dropping-particle&quot;:&quot;&quot;}],&quot;accessed&quot;:{&quot;date-parts&quot;:[[2022,10,16]]},&quot;URL&quot;:&quot;https://www.ctmira.org/about/&quot;,&quot;container-title-short&quot;:&quot;&quot;},&quot;isTemporary&quot;:false}]}]"/>
    <we:property name="MENDELEY_CITATIONS_STYLE" value="{&quot;id&quot;:&quot;https://www.zotero.org/styles/apa&quot;,&quot;title&quot;:&quot;American Psychological Association 7th edition&quot;,&quot;format&quot;:&quot;author-date&quot;,&quot;defaultLocale&quot;:null}"/>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06bf993f-5771-4210-a1e5-00f69c4679fe">
      <UserInfo>
        <DisplayName>Erin Grimm</DisplayName>
        <AccountId>75</AccountId>
        <AccountType/>
      </UserInfo>
      <UserInfo>
        <DisplayName>Darby, Debra</DisplayName>
        <AccountId>62</AccountId>
        <AccountType/>
      </UserInfo>
      <UserInfo>
        <DisplayName>Sara Nichols</DisplayName>
        <AccountId>17</AccountId>
        <AccountType/>
      </UserInfo>
      <UserInfo>
        <DisplayName>Annie White</DisplayName>
        <AccountId>16</AccountId>
        <AccountType/>
      </UserInfo>
    </SharedWithUsers>
    <lcf76f155ced4ddcb4097134ff3c332f xmlns="780a9d06-6ab5-4725-a265-8116ce6ae0bb">
      <Terms xmlns="http://schemas.microsoft.com/office/infopath/2007/PartnerControls"/>
    </lcf76f155ced4ddcb4097134ff3c332f>
    <TaxCatchAll xmlns="06bf993f-5771-4210-a1e5-00f69c4679f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799D6D8FAEA794C9C31E53ACD2E9109" ma:contentTypeVersion="15" ma:contentTypeDescription="Create a new document." ma:contentTypeScope="" ma:versionID="3d68349551e3910ad5172aa65410099c">
  <xsd:schema xmlns:xsd="http://www.w3.org/2001/XMLSchema" xmlns:xs="http://www.w3.org/2001/XMLSchema" xmlns:p="http://schemas.microsoft.com/office/2006/metadata/properties" xmlns:ns2="780a9d06-6ab5-4725-a265-8116ce6ae0bb" xmlns:ns3="06bf993f-5771-4210-a1e5-00f69c4679fe" targetNamespace="http://schemas.microsoft.com/office/2006/metadata/properties" ma:root="true" ma:fieldsID="bc5d2a0a1276966c25587b06c3c61a48" ns2:_="" ns3:_="">
    <xsd:import namespace="780a9d06-6ab5-4725-a265-8116ce6ae0bb"/>
    <xsd:import namespace="06bf993f-5771-4210-a1e5-00f69c4679f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0a9d06-6ab5-4725-a265-8116ce6ae0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5998a11-2e2c-44c4-85d7-655e1af8856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6bf993f-5771-4210-a1e5-00f69c4679f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44fd353-5501-41a6-a95a-e324b806ccd2}" ma:internalName="TaxCatchAll" ma:showField="CatchAllData" ma:web="06bf993f-5771-4210-a1e5-00f69c4679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CDB977-A4C3-4265-9C45-5442071ECACA}">
  <ds:schemaRefs>
    <ds:schemaRef ds:uri="http://schemas.openxmlformats.org/officeDocument/2006/bibliography"/>
  </ds:schemaRefs>
</ds:datastoreItem>
</file>

<file path=customXml/itemProps2.xml><?xml version="1.0" encoding="utf-8"?>
<ds:datastoreItem xmlns:ds="http://schemas.openxmlformats.org/officeDocument/2006/customXml" ds:itemID="{930267F8-495B-4547-AE07-5D05CA06925E}">
  <ds:schemaRefs>
    <ds:schemaRef ds:uri="http://purl.org/dc/terms/"/>
    <ds:schemaRef ds:uri="06bf993f-5771-4210-a1e5-00f69c4679fe"/>
    <ds:schemaRef ds:uri="http://schemas.openxmlformats.org/package/2006/metadata/core-properties"/>
    <ds:schemaRef ds:uri="http://purl.org/dc/elements/1.1/"/>
    <ds:schemaRef ds:uri="http://schemas.microsoft.com/office/2006/documentManagement/types"/>
    <ds:schemaRef ds:uri="http://www.w3.org/XML/1998/namespace"/>
    <ds:schemaRef ds:uri="http://purl.org/dc/dcmitype/"/>
    <ds:schemaRef ds:uri="http://schemas.microsoft.com/office/2006/metadata/properties"/>
    <ds:schemaRef ds:uri="http://schemas.microsoft.com/office/infopath/2007/PartnerControls"/>
    <ds:schemaRef ds:uri="780a9d06-6ab5-4725-a265-8116ce6ae0bb"/>
  </ds:schemaRefs>
</ds:datastoreItem>
</file>

<file path=customXml/itemProps3.xml><?xml version="1.0" encoding="utf-8"?>
<ds:datastoreItem xmlns:ds="http://schemas.openxmlformats.org/officeDocument/2006/customXml" ds:itemID="{43789B5B-485C-4F9B-8A8D-E05879A24E92}">
  <ds:schemaRefs>
    <ds:schemaRef ds:uri="http://schemas.microsoft.com/sharepoint/v3/contenttype/forms"/>
  </ds:schemaRefs>
</ds:datastoreItem>
</file>

<file path=customXml/itemProps4.xml><?xml version="1.0" encoding="utf-8"?>
<ds:datastoreItem xmlns:ds="http://schemas.openxmlformats.org/officeDocument/2006/customXml" ds:itemID="{1D2283C6-889C-453E-9F28-6E2B5E901A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0a9d06-6ab5-4725-a265-8116ce6ae0bb"/>
    <ds:schemaRef ds:uri="06bf993f-5771-4210-a1e5-00f69c4679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9831</Words>
  <Characters>56040</Characters>
  <Application>Microsoft Office Word</Application>
  <DocSecurity>4</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65740</CharactersWithSpaces>
  <SharedDoc>false</SharedDoc>
  <HLinks>
    <vt:vector size="264" baseType="variant">
      <vt:variant>
        <vt:i4>262222</vt:i4>
      </vt:variant>
      <vt:variant>
        <vt:i4>182</vt:i4>
      </vt:variant>
      <vt:variant>
        <vt:i4>0</vt:i4>
      </vt:variant>
      <vt:variant>
        <vt:i4>5</vt:i4>
      </vt:variant>
      <vt:variant>
        <vt:lpwstr>https://resourcerecycling.sharepoint.com/sites/capitalregiondistrictofgovernments/Shared Documents/2022 Municipal Solid Waste Consultant Services/3 - Project Working Files/draftreport_v3.docx</vt:lpwstr>
      </vt:variant>
      <vt:variant>
        <vt:lpwstr>_Toc116992596</vt:lpwstr>
      </vt:variant>
      <vt:variant>
        <vt:i4>262222</vt:i4>
      </vt:variant>
      <vt:variant>
        <vt:i4>176</vt:i4>
      </vt:variant>
      <vt:variant>
        <vt:i4>0</vt:i4>
      </vt:variant>
      <vt:variant>
        <vt:i4>5</vt:i4>
      </vt:variant>
      <vt:variant>
        <vt:lpwstr>https://resourcerecycling.sharepoint.com/sites/capitalregiondistrictofgovernments/Shared Documents/2022 Municipal Solid Waste Consultant Services/3 - Project Working Files/draftreport_v3.docx</vt:lpwstr>
      </vt:variant>
      <vt:variant>
        <vt:lpwstr>_Toc116992595</vt:lpwstr>
      </vt:variant>
      <vt:variant>
        <vt:i4>1310779</vt:i4>
      </vt:variant>
      <vt:variant>
        <vt:i4>170</vt:i4>
      </vt:variant>
      <vt:variant>
        <vt:i4>0</vt:i4>
      </vt:variant>
      <vt:variant>
        <vt:i4>5</vt:i4>
      </vt:variant>
      <vt:variant>
        <vt:lpwstr/>
      </vt:variant>
      <vt:variant>
        <vt:lpwstr>_Toc116992594</vt:lpwstr>
      </vt:variant>
      <vt:variant>
        <vt:i4>1310779</vt:i4>
      </vt:variant>
      <vt:variant>
        <vt:i4>164</vt:i4>
      </vt:variant>
      <vt:variant>
        <vt:i4>0</vt:i4>
      </vt:variant>
      <vt:variant>
        <vt:i4>5</vt:i4>
      </vt:variant>
      <vt:variant>
        <vt:lpwstr/>
      </vt:variant>
      <vt:variant>
        <vt:lpwstr>_Toc116992593</vt:lpwstr>
      </vt:variant>
      <vt:variant>
        <vt:i4>262222</vt:i4>
      </vt:variant>
      <vt:variant>
        <vt:i4>158</vt:i4>
      </vt:variant>
      <vt:variant>
        <vt:i4>0</vt:i4>
      </vt:variant>
      <vt:variant>
        <vt:i4>5</vt:i4>
      </vt:variant>
      <vt:variant>
        <vt:lpwstr>https://resourcerecycling.sharepoint.com/sites/capitalregiondistrictofgovernments/Shared Documents/2022 Municipal Solid Waste Consultant Services/3 - Project Working Files/draftreport_v3.docx</vt:lpwstr>
      </vt:variant>
      <vt:variant>
        <vt:lpwstr>_Toc116992592</vt:lpwstr>
      </vt:variant>
      <vt:variant>
        <vt:i4>262222</vt:i4>
      </vt:variant>
      <vt:variant>
        <vt:i4>152</vt:i4>
      </vt:variant>
      <vt:variant>
        <vt:i4>0</vt:i4>
      </vt:variant>
      <vt:variant>
        <vt:i4>5</vt:i4>
      </vt:variant>
      <vt:variant>
        <vt:lpwstr>https://resourcerecycling.sharepoint.com/sites/capitalregiondistrictofgovernments/Shared Documents/2022 Municipal Solid Waste Consultant Services/3 - Project Working Files/draftreport_v3.docx</vt:lpwstr>
      </vt:variant>
      <vt:variant>
        <vt:lpwstr>_Toc116992591</vt:lpwstr>
      </vt:variant>
      <vt:variant>
        <vt:i4>1310779</vt:i4>
      </vt:variant>
      <vt:variant>
        <vt:i4>146</vt:i4>
      </vt:variant>
      <vt:variant>
        <vt:i4>0</vt:i4>
      </vt:variant>
      <vt:variant>
        <vt:i4>5</vt:i4>
      </vt:variant>
      <vt:variant>
        <vt:lpwstr/>
      </vt:variant>
      <vt:variant>
        <vt:lpwstr>_Toc116992590</vt:lpwstr>
      </vt:variant>
      <vt:variant>
        <vt:i4>1376315</vt:i4>
      </vt:variant>
      <vt:variant>
        <vt:i4>140</vt:i4>
      </vt:variant>
      <vt:variant>
        <vt:i4>0</vt:i4>
      </vt:variant>
      <vt:variant>
        <vt:i4>5</vt:i4>
      </vt:variant>
      <vt:variant>
        <vt:lpwstr/>
      </vt:variant>
      <vt:variant>
        <vt:lpwstr>_Toc116992589</vt:lpwstr>
      </vt:variant>
      <vt:variant>
        <vt:i4>1376315</vt:i4>
      </vt:variant>
      <vt:variant>
        <vt:i4>134</vt:i4>
      </vt:variant>
      <vt:variant>
        <vt:i4>0</vt:i4>
      </vt:variant>
      <vt:variant>
        <vt:i4>5</vt:i4>
      </vt:variant>
      <vt:variant>
        <vt:lpwstr/>
      </vt:variant>
      <vt:variant>
        <vt:lpwstr>_Toc116992588</vt:lpwstr>
      </vt:variant>
      <vt:variant>
        <vt:i4>1376315</vt:i4>
      </vt:variant>
      <vt:variant>
        <vt:i4>128</vt:i4>
      </vt:variant>
      <vt:variant>
        <vt:i4>0</vt:i4>
      </vt:variant>
      <vt:variant>
        <vt:i4>5</vt:i4>
      </vt:variant>
      <vt:variant>
        <vt:lpwstr/>
      </vt:variant>
      <vt:variant>
        <vt:lpwstr>_Toc116992587</vt:lpwstr>
      </vt:variant>
      <vt:variant>
        <vt:i4>1376315</vt:i4>
      </vt:variant>
      <vt:variant>
        <vt:i4>122</vt:i4>
      </vt:variant>
      <vt:variant>
        <vt:i4>0</vt:i4>
      </vt:variant>
      <vt:variant>
        <vt:i4>5</vt:i4>
      </vt:variant>
      <vt:variant>
        <vt:lpwstr/>
      </vt:variant>
      <vt:variant>
        <vt:lpwstr>_Toc116992586</vt:lpwstr>
      </vt:variant>
      <vt:variant>
        <vt:i4>1376315</vt:i4>
      </vt:variant>
      <vt:variant>
        <vt:i4>116</vt:i4>
      </vt:variant>
      <vt:variant>
        <vt:i4>0</vt:i4>
      </vt:variant>
      <vt:variant>
        <vt:i4>5</vt:i4>
      </vt:variant>
      <vt:variant>
        <vt:lpwstr/>
      </vt:variant>
      <vt:variant>
        <vt:lpwstr>_Toc116992585</vt:lpwstr>
      </vt:variant>
      <vt:variant>
        <vt:i4>1376315</vt:i4>
      </vt:variant>
      <vt:variant>
        <vt:i4>110</vt:i4>
      </vt:variant>
      <vt:variant>
        <vt:i4>0</vt:i4>
      </vt:variant>
      <vt:variant>
        <vt:i4>5</vt:i4>
      </vt:variant>
      <vt:variant>
        <vt:lpwstr/>
      </vt:variant>
      <vt:variant>
        <vt:lpwstr>_Toc116992584</vt:lpwstr>
      </vt:variant>
      <vt:variant>
        <vt:i4>1376315</vt:i4>
      </vt:variant>
      <vt:variant>
        <vt:i4>104</vt:i4>
      </vt:variant>
      <vt:variant>
        <vt:i4>0</vt:i4>
      </vt:variant>
      <vt:variant>
        <vt:i4>5</vt:i4>
      </vt:variant>
      <vt:variant>
        <vt:lpwstr/>
      </vt:variant>
      <vt:variant>
        <vt:lpwstr>_Toc116992583</vt:lpwstr>
      </vt:variant>
      <vt:variant>
        <vt:i4>1835068</vt:i4>
      </vt:variant>
      <vt:variant>
        <vt:i4>95</vt:i4>
      </vt:variant>
      <vt:variant>
        <vt:i4>0</vt:i4>
      </vt:variant>
      <vt:variant>
        <vt:i4>5</vt:i4>
      </vt:variant>
      <vt:variant>
        <vt:lpwstr/>
      </vt:variant>
      <vt:variant>
        <vt:lpwstr>_Toc116992213</vt:lpwstr>
      </vt:variant>
      <vt:variant>
        <vt:i4>1835068</vt:i4>
      </vt:variant>
      <vt:variant>
        <vt:i4>89</vt:i4>
      </vt:variant>
      <vt:variant>
        <vt:i4>0</vt:i4>
      </vt:variant>
      <vt:variant>
        <vt:i4>5</vt:i4>
      </vt:variant>
      <vt:variant>
        <vt:lpwstr/>
      </vt:variant>
      <vt:variant>
        <vt:lpwstr>_Toc116992212</vt:lpwstr>
      </vt:variant>
      <vt:variant>
        <vt:i4>1835068</vt:i4>
      </vt:variant>
      <vt:variant>
        <vt:i4>83</vt:i4>
      </vt:variant>
      <vt:variant>
        <vt:i4>0</vt:i4>
      </vt:variant>
      <vt:variant>
        <vt:i4>5</vt:i4>
      </vt:variant>
      <vt:variant>
        <vt:lpwstr/>
      </vt:variant>
      <vt:variant>
        <vt:lpwstr>_Toc116992211</vt:lpwstr>
      </vt:variant>
      <vt:variant>
        <vt:i4>1835068</vt:i4>
      </vt:variant>
      <vt:variant>
        <vt:i4>77</vt:i4>
      </vt:variant>
      <vt:variant>
        <vt:i4>0</vt:i4>
      </vt:variant>
      <vt:variant>
        <vt:i4>5</vt:i4>
      </vt:variant>
      <vt:variant>
        <vt:lpwstr/>
      </vt:variant>
      <vt:variant>
        <vt:lpwstr>_Toc116992210</vt:lpwstr>
      </vt:variant>
      <vt:variant>
        <vt:i4>1900604</vt:i4>
      </vt:variant>
      <vt:variant>
        <vt:i4>71</vt:i4>
      </vt:variant>
      <vt:variant>
        <vt:i4>0</vt:i4>
      </vt:variant>
      <vt:variant>
        <vt:i4>5</vt:i4>
      </vt:variant>
      <vt:variant>
        <vt:lpwstr/>
      </vt:variant>
      <vt:variant>
        <vt:lpwstr>_Toc116992209</vt:lpwstr>
      </vt:variant>
      <vt:variant>
        <vt:i4>1900604</vt:i4>
      </vt:variant>
      <vt:variant>
        <vt:i4>65</vt:i4>
      </vt:variant>
      <vt:variant>
        <vt:i4>0</vt:i4>
      </vt:variant>
      <vt:variant>
        <vt:i4>5</vt:i4>
      </vt:variant>
      <vt:variant>
        <vt:lpwstr/>
      </vt:variant>
      <vt:variant>
        <vt:lpwstr>_Toc116992208</vt:lpwstr>
      </vt:variant>
      <vt:variant>
        <vt:i4>1900604</vt:i4>
      </vt:variant>
      <vt:variant>
        <vt:i4>59</vt:i4>
      </vt:variant>
      <vt:variant>
        <vt:i4>0</vt:i4>
      </vt:variant>
      <vt:variant>
        <vt:i4>5</vt:i4>
      </vt:variant>
      <vt:variant>
        <vt:lpwstr/>
      </vt:variant>
      <vt:variant>
        <vt:lpwstr>_Toc116992207</vt:lpwstr>
      </vt:variant>
      <vt:variant>
        <vt:i4>1900604</vt:i4>
      </vt:variant>
      <vt:variant>
        <vt:i4>53</vt:i4>
      </vt:variant>
      <vt:variant>
        <vt:i4>0</vt:i4>
      </vt:variant>
      <vt:variant>
        <vt:i4>5</vt:i4>
      </vt:variant>
      <vt:variant>
        <vt:lpwstr/>
      </vt:variant>
      <vt:variant>
        <vt:lpwstr>_Toc116992206</vt:lpwstr>
      </vt:variant>
      <vt:variant>
        <vt:i4>1114166</vt:i4>
      </vt:variant>
      <vt:variant>
        <vt:i4>44</vt:i4>
      </vt:variant>
      <vt:variant>
        <vt:i4>0</vt:i4>
      </vt:variant>
      <vt:variant>
        <vt:i4>5</vt:i4>
      </vt:variant>
      <vt:variant>
        <vt:lpwstr/>
      </vt:variant>
      <vt:variant>
        <vt:lpwstr>_Toc117001068</vt:lpwstr>
      </vt:variant>
      <vt:variant>
        <vt:i4>1114166</vt:i4>
      </vt:variant>
      <vt:variant>
        <vt:i4>38</vt:i4>
      </vt:variant>
      <vt:variant>
        <vt:i4>0</vt:i4>
      </vt:variant>
      <vt:variant>
        <vt:i4>5</vt:i4>
      </vt:variant>
      <vt:variant>
        <vt:lpwstr/>
      </vt:variant>
      <vt:variant>
        <vt:lpwstr>_Toc117001061</vt:lpwstr>
      </vt:variant>
      <vt:variant>
        <vt:i4>1179702</vt:i4>
      </vt:variant>
      <vt:variant>
        <vt:i4>32</vt:i4>
      </vt:variant>
      <vt:variant>
        <vt:i4>0</vt:i4>
      </vt:variant>
      <vt:variant>
        <vt:i4>5</vt:i4>
      </vt:variant>
      <vt:variant>
        <vt:lpwstr/>
      </vt:variant>
      <vt:variant>
        <vt:lpwstr>_Toc117001059</vt:lpwstr>
      </vt:variant>
      <vt:variant>
        <vt:i4>1179702</vt:i4>
      </vt:variant>
      <vt:variant>
        <vt:i4>26</vt:i4>
      </vt:variant>
      <vt:variant>
        <vt:i4>0</vt:i4>
      </vt:variant>
      <vt:variant>
        <vt:i4>5</vt:i4>
      </vt:variant>
      <vt:variant>
        <vt:lpwstr/>
      </vt:variant>
      <vt:variant>
        <vt:lpwstr>_Toc117001050</vt:lpwstr>
      </vt:variant>
      <vt:variant>
        <vt:i4>1245238</vt:i4>
      </vt:variant>
      <vt:variant>
        <vt:i4>20</vt:i4>
      </vt:variant>
      <vt:variant>
        <vt:i4>0</vt:i4>
      </vt:variant>
      <vt:variant>
        <vt:i4>5</vt:i4>
      </vt:variant>
      <vt:variant>
        <vt:lpwstr/>
      </vt:variant>
      <vt:variant>
        <vt:lpwstr>_Toc117001044</vt:lpwstr>
      </vt:variant>
      <vt:variant>
        <vt:i4>1245238</vt:i4>
      </vt:variant>
      <vt:variant>
        <vt:i4>14</vt:i4>
      </vt:variant>
      <vt:variant>
        <vt:i4>0</vt:i4>
      </vt:variant>
      <vt:variant>
        <vt:i4>5</vt:i4>
      </vt:variant>
      <vt:variant>
        <vt:lpwstr/>
      </vt:variant>
      <vt:variant>
        <vt:lpwstr>_Toc117001041</vt:lpwstr>
      </vt:variant>
      <vt:variant>
        <vt:i4>1310774</vt:i4>
      </vt:variant>
      <vt:variant>
        <vt:i4>8</vt:i4>
      </vt:variant>
      <vt:variant>
        <vt:i4>0</vt:i4>
      </vt:variant>
      <vt:variant>
        <vt:i4>5</vt:i4>
      </vt:variant>
      <vt:variant>
        <vt:lpwstr/>
      </vt:variant>
      <vt:variant>
        <vt:lpwstr>_Toc117001038</vt:lpwstr>
      </vt:variant>
      <vt:variant>
        <vt:i4>1310774</vt:i4>
      </vt:variant>
      <vt:variant>
        <vt:i4>2</vt:i4>
      </vt:variant>
      <vt:variant>
        <vt:i4>0</vt:i4>
      </vt:variant>
      <vt:variant>
        <vt:i4>5</vt:i4>
      </vt:variant>
      <vt:variant>
        <vt:lpwstr/>
      </vt:variant>
      <vt:variant>
        <vt:lpwstr>_Toc117001037</vt:lpwstr>
      </vt:variant>
      <vt:variant>
        <vt:i4>5308494</vt:i4>
      </vt:variant>
      <vt:variant>
        <vt:i4>39</vt:i4>
      </vt:variant>
      <vt:variant>
        <vt:i4>0</vt:i4>
      </vt:variant>
      <vt:variant>
        <vt:i4>5</vt:i4>
      </vt:variant>
      <vt:variant>
        <vt:lpwstr>https://cga.ct.gov/2020/ACT/PA/PDF/2020PA-00006-R00HB-07008SS3-PA.PDF</vt:lpwstr>
      </vt:variant>
      <vt:variant>
        <vt:lpwstr/>
      </vt:variant>
      <vt:variant>
        <vt:i4>6094869</vt:i4>
      </vt:variant>
      <vt:variant>
        <vt:i4>36</vt:i4>
      </vt:variant>
      <vt:variant>
        <vt:i4>0</vt:i4>
      </vt:variant>
      <vt:variant>
        <vt:i4>5</vt:i4>
      </vt:variant>
      <vt:variant>
        <vt:lpwstr>https://portal.ct.gov/DEEP/Environmental-Justice/Environmental-Equity-Policy</vt:lpwstr>
      </vt:variant>
      <vt:variant>
        <vt:lpwstr/>
      </vt:variant>
      <vt:variant>
        <vt:i4>3801190</vt:i4>
      </vt:variant>
      <vt:variant>
        <vt:i4>33</vt:i4>
      </vt:variant>
      <vt:variant>
        <vt:i4>0</vt:i4>
      </vt:variant>
      <vt:variant>
        <vt:i4>5</vt:i4>
      </vt:variant>
      <vt:variant>
        <vt:lpwstr>https://portal.ct.gov/DEEP/Permits-and-Licenses/Factsheets-Waste-and-Materials-Management/General-Permit-to-Construct-and-Operate-Certain-Recycling-Facilities</vt:lpwstr>
      </vt:variant>
      <vt:variant>
        <vt:lpwstr/>
      </vt:variant>
      <vt:variant>
        <vt:i4>3211313</vt:i4>
      </vt:variant>
      <vt:variant>
        <vt:i4>30</vt:i4>
      </vt:variant>
      <vt:variant>
        <vt:i4>0</vt:i4>
      </vt:variant>
      <vt:variant>
        <vt:i4>5</vt:i4>
      </vt:variant>
      <vt:variant>
        <vt:lpwstr>https://www.cga.ct.gov/2022/act/Sa/pdf/2022SA-00011-R00SB-00277-SA.PDF</vt:lpwstr>
      </vt:variant>
      <vt:variant>
        <vt:lpwstr/>
      </vt:variant>
      <vt:variant>
        <vt:i4>8257615</vt:i4>
      </vt:variant>
      <vt:variant>
        <vt:i4>27</vt:i4>
      </vt:variant>
      <vt:variant>
        <vt:i4>0</vt:i4>
      </vt:variant>
      <vt:variant>
        <vt:i4>5</vt:i4>
      </vt:variant>
      <vt:variant>
        <vt:lpwstr>https://www.epa.gov/sites/default/files/2021-01/documents/2018_ff_fact_sheet_dec_2020_fnl_508.pdf</vt:lpwstr>
      </vt:variant>
      <vt:variant>
        <vt:lpwstr/>
      </vt:variant>
      <vt:variant>
        <vt:i4>7667773</vt:i4>
      </vt:variant>
      <vt:variant>
        <vt:i4>24</vt:i4>
      </vt:variant>
      <vt:variant>
        <vt:i4>0</vt:i4>
      </vt:variant>
      <vt:variant>
        <vt:i4>5</vt:i4>
      </vt:variant>
      <vt:variant>
        <vt:lpwstr>https://portal.ct.gov/-/media/DEEP/waste_management_and_disposal/Solid_Waste_Management_Plan/CMMSFinal2015MSWCharacterizationStudypdf.pdf</vt:lpwstr>
      </vt:variant>
      <vt:variant>
        <vt:lpwstr/>
      </vt:variant>
      <vt:variant>
        <vt:i4>4522051</vt:i4>
      </vt:variant>
      <vt:variant>
        <vt:i4>21</vt:i4>
      </vt:variant>
      <vt:variant>
        <vt:i4>0</vt:i4>
      </vt:variant>
      <vt:variant>
        <vt:i4>5</vt:i4>
      </vt:variant>
      <vt:variant>
        <vt:lpwstr>https://www.courant.com/news/connecticut/hc-news-blue-earth-compost-update-20190328-qwdwwn2a5veaxbqp6ztp2kxzg4-story.html</vt:lpwstr>
      </vt:variant>
      <vt:variant>
        <vt:lpwstr/>
      </vt:variant>
      <vt:variant>
        <vt:i4>8257615</vt:i4>
      </vt:variant>
      <vt:variant>
        <vt:i4>18</vt:i4>
      </vt:variant>
      <vt:variant>
        <vt:i4>0</vt:i4>
      </vt:variant>
      <vt:variant>
        <vt:i4>5</vt:i4>
      </vt:variant>
      <vt:variant>
        <vt:lpwstr>https://www.epa.gov/sites/default/files/2021-01/documents/2018_ff_fact_sheet_dec_2020_fnl_508.pdf</vt:lpwstr>
      </vt:variant>
      <vt:variant>
        <vt:lpwstr/>
      </vt:variant>
      <vt:variant>
        <vt:i4>7536696</vt:i4>
      </vt:variant>
      <vt:variant>
        <vt:i4>15</vt:i4>
      </vt:variant>
      <vt:variant>
        <vt:i4>0</vt:i4>
      </vt:variant>
      <vt:variant>
        <vt:i4>5</vt:i4>
      </vt:variant>
      <vt:variant>
        <vt:lpwstr>https://www1.ctdol.state.ct.us/lmi/projections.asp</vt:lpwstr>
      </vt:variant>
      <vt:variant>
        <vt:lpwstr/>
      </vt:variant>
      <vt:variant>
        <vt:i4>4653141</vt:i4>
      </vt:variant>
      <vt:variant>
        <vt:i4>12</vt:i4>
      </vt:variant>
      <vt:variant>
        <vt:i4>0</vt:i4>
      </vt:variant>
      <vt:variant>
        <vt:i4>5</vt:i4>
      </vt:variant>
      <vt:variant>
        <vt:lpwstr>https://crcog.org/about/</vt:lpwstr>
      </vt:variant>
      <vt:variant>
        <vt:lpwstr/>
      </vt:variant>
      <vt:variant>
        <vt:i4>2949166</vt:i4>
      </vt:variant>
      <vt:variant>
        <vt:i4>9</vt:i4>
      </vt:variant>
      <vt:variant>
        <vt:i4>0</vt:i4>
      </vt:variant>
      <vt:variant>
        <vt:i4>5</vt:i4>
      </vt:variant>
      <vt:variant>
        <vt:lpwstr>https://www.ctmira.org/wp-content/uploads/2021/12/MIRA-Presentation-informational-meeting-12-15-21.pdf</vt:lpwstr>
      </vt:variant>
      <vt:variant>
        <vt:lpwstr/>
      </vt:variant>
      <vt:variant>
        <vt:i4>4587608</vt:i4>
      </vt:variant>
      <vt:variant>
        <vt:i4>6</vt:i4>
      </vt:variant>
      <vt:variant>
        <vt:i4>0</vt:i4>
      </vt:variant>
      <vt:variant>
        <vt:i4>5</vt:i4>
      </vt:variant>
      <vt:variant>
        <vt:lpwstr>https://www.ctmira.org/about/</vt:lpwstr>
      </vt:variant>
      <vt:variant>
        <vt:lpwstr/>
      </vt:variant>
      <vt:variant>
        <vt:i4>3670069</vt:i4>
      </vt:variant>
      <vt:variant>
        <vt:i4>3</vt:i4>
      </vt:variant>
      <vt:variant>
        <vt:i4>0</vt:i4>
      </vt:variant>
      <vt:variant>
        <vt:i4>5</vt:i4>
      </vt:variant>
      <vt:variant>
        <vt:lpwstr>https://www.cga.ct.gov/2014/act/pa/pdf/2014PA-00094-R00SB-00357-PA.pdf</vt:lpwstr>
      </vt:variant>
      <vt:variant>
        <vt:lpwstr/>
      </vt:variant>
      <vt:variant>
        <vt:i4>2424943</vt:i4>
      </vt:variant>
      <vt:variant>
        <vt:i4>0</vt:i4>
      </vt:variant>
      <vt:variant>
        <vt:i4>0</vt:i4>
      </vt:variant>
      <vt:variant>
        <vt:i4>5</vt:i4>
      </vt:variant>
      <vt:variant>
        <vt:lpwstr>https://portal.ct.gov/-/media/DEEP/waste_management_and_disposal/Solid_Waste_Management_Plan/CMMSFinalAdoptedComprehensiveMaterialsManagementStrategypdf.pdf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Zawila</dc:creator>
  <cp:keywords/>
  <dc:description/>
  <cp:lastModifiedBy>Robyn Nichols</cp:lastModifiedBy>
  <cp:revision>2</cp:revision>
  <cp:lastPrinted>2022-09-23T20:27:00Z</cp:lastPrinted>
  <dcterms:created xsi:type="dcterms:W3CDTF">2023-03-22T18:51:00Z</dcterms:created>
  <dcterms:modified xsi:type="dcterms:W3CDTF">2023-03-22T18:51:00Z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0x010100A799D6D8FAEA794C9C31E53ACD2E9109</vt:lpwstr>
  </property>
</Properties>
</file>